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16674" w:rsidTr="007A339F">
        <w:trPr>
          <w:jc w:val="center"/>
        </w:trPr>
        <w:tc>
          <w:tcPr>
            <w:tcW w:w="743" w:type="dxa"/>
          </w:tcPr>
          <w:p w:rsidR="00516674" w:rsidRDefault="00516674" w:rsidP="007A339F">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516674" w:rsidRDefault="00516674" w:rsidP="007A339F">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516674" w:rsidRDefault="00516674" w:rsidP="007A339F">
            <w:pPr>
              <w:rPr>
                <w:rFonts w:ascii="Arial" w:hAnsi="Arial" w:cs="FrankRuehl"/>
                <w:sz w:val="28"/>
                <w:szCs w:val="28"/>
                <w:highlight w:val="yellow"/>
              </w:rPr>
            </w:pPr>
          </w:p>
        </w:tc>
      </w:tr>
      <w:tr w:rsidR="00516674" w:rsidTr="007A339F">
        <w:trPr>
          <w:jc w:val="center"/>
        </w:trPr>
        <w:tc>
          <w:tcPr>
            <w:tcW w:w="3249" w:type="dxa"/>
            <w:gridSpan w:val="2"/>
          </w:tcPr>
          <w:p w:rsidR="00516674" w:rsidRDefault="00516674" w:rsidP="007A339F">
            <w:pPr>
              <w:bidi w:val="0"/>
              <w:jc w:val="right"/>
              <w:rPr>
                <w:rFonts w:ascii="Arial" w:hAnsi="Arial"/>
                <w:b/>
                <w:bCs/>
                <w:noProof w:val="0"/>
                <w:sz w:val="26"/>
                <w:szCs w:val="26"/>
              </w:rPr>
            </w:pPr>
          </w:p>
          <w:sdt>
            <w:sdtPr>
              <w:alias w:val="1180"/>
              <w:tag w:val="1180"/>
              <w:id w:val="-1016538661"/>
              <w:text w:multiLine="1"/>
            </w:sdtPr>
            <w:sdtEndPr/>
            <w:sdtContent>
              <w:p w:rsidR="00516674" w:rsidRDefault="00516674" w:rsidP="007A339F">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516674" w:rsidRDefault="00516674" w:rsidP="007A339F">
            <w:pPr>
              <w:rPr>
                <w:rFonts w:ascii="Arial" w:hAnsi="Arial"/>
                <w:b/>
                <w:bCs/>
                <w:noProof w:val="0"/>
                <w:sz w:val="26"/>
                <w:szCs w:val="26"/>
              </w:rPr>
            </w:pPr>
          </w:p>
          <w:p w:rsidR="00516674" w:rsidRDefault="008D43B8" w:rsidP="005771F4">
            <w:pPr>
              <w:rPr>
                <w:b/>
                <w:bCs/>
                <w:noProof w:val="0"/>
                <w:sz w:val="26"/>
                <w:szCs w:val="26"/>
              </w:rPr>
            </w:pPr>
            <w:sdt>
              <w:sdtPr>
                <w:rPr>
                  <w:rtl/>
                </w:rPr>
                <w:alias w:val="1478"/>
                <w:tag w:val="1478"/>
                <w:id w:val="-893967435"/>
                <w:text w:multiLine="1"/>
              </w:sdtPr>
              <w:sdtEndPr/>
              <w:sdtContent>
                <w:r w:rsidR="005771F4">
                  <w:rPr>
                    <w:rFonts w:ascii="Arial" w:hAnsi="Arial" w:hint="cs"/>
                    <w:b/>
                    <w:bCs/>
                    <w:noProof w:val="0"/>
                    <w:sz w:val="26"/>
                    <w:szCs w:val="26"/>
                    <w:rtl/>
                  </w:rPr>
                  <w:t>פלונית</w:t>
                </w:r>
              </w:sdtContent>
            </w:sdt>
            <w:r w:rsidR="00516674">
              <w:rPr>
                <w:rFonts w:ascii="Arial" w:hAnsi="Arial" w:hint="cs"/>
                <w:b/>
                <w:bCs/>
                <w:noProof w:val="0"/>
                <w:sz w:val="26"/>
                <w:szCs w:val="26"/>
                <w:rtl/>
              </w:rPr>
              <w:t xml:space="preserve"> </w:t>
            </w:r>
          </w:p>
        </w:tc>
      </w:tr>
      <w:tr w:rsidR="00516674" w:rsidTr="007A339F">
        <w:trPr>
          <w:jc w:val="center"/>
        </w:trPr>
        <w:tc>
          <w:tcPr>
            <w:tcW w:w="8820" w:type="dxa"/>
            <w:gridSpan w:val="3"/>
          </w:tcPr>
          <w:p w:rsidR="00516674" w:rsidRDefault="00516674" w:rsidP="007A339F">
            <w:pPr>
              <w:rPr>
                <w:rFonts w:ascii="Arial" w:hAnsi="Arial"/>
                <w:b/>
                <w:bCs/>
                <w:noProof w:val="0"/>
                <w:sz w:val="26"/>
                <w:szCs w:val="26"/>
                <w:rtl/>
              </w:rPr>
            </w:pPr>
          </w:p>
          <w:p w:rsidR="00516674" w:rsidRDefault="00516674" w:rsidP="005771F4">
            <w:pPr>
              <w:jc w:val="center"/>
              <w:rPr>
                <w:rFonts w:ascii="Arial" w:hAnsi="Arial"/>
                <w:b/>
                <w:bCs/>
                <w:noProof w:val="0"/>
                <w:sz w:val="26"/>
                <w:szCs w:val="26"/>
              </w:rPr>
            </w:pPr>
            <w:r>
              <w:rPr>
                <w:rFonts w:ascii="Arial" w:hAnsi="Arial"/>
                <w:b/>
                <w:bCs/>
                <w:noProof w:val="0"/>
                <w:sz w:val="26"/>
                <w:szCs w:val="26"/>
                <w:rtl/>
              </w:rPr>
              <w:t>נגד</w:t>
            </w:r>
          </w:p>
        </w:tc>
      </w:tr>
      <w:tr w:rsidR="00516674" w:rsidTr="007A339F">
        <w:trPr>
          <w:jc w:val="center"/>
        </w:trPr>
        <w:tc>
          <w:tcPr>
            <w:tcW w:w="3249" w:type="dxa"/>
            <w:gridSpan w:val="2"/>
          </w:tcPr>
          <w:p w:rsidR="00516674" w:rsidRDefault="00516674" w:rsidP="007A339F">
            <w:pPr>
              <w:rPr>
                <w:rFonts w:ascii="Arial" w:hAnsi="Arial"/>
                <w:b/>
                <w:bCs/>
                <w:noProof w:val="0"/>
                <w:sz w:val="26"/>
                <w:szCs w:val="26"/>
                <w:rtl/>
              </w:rPr>
            </w:pPr>
          </w:p>
          <w:p w:rsidR="00516674" w:rsidRDefault="008D43B8" w:rsidP="007A339F">
            <w:pPr>
              <w:rPr>
                <w:rFonts w:ascii="Arial" w:hAnsi="Arial"/>
                <w:b/>
                <w:bCs/>
                <w:noProof w:val="0"/>
                <w:sz w:val="26"/>
                <w:szCs w:val="26"/>
              </w:rPr>
            </w:pPr>
            <w:sdt>
              <w:sdtPr>
                <w:rPr>
                  <w:rtl/>
                </w:rPr>
                <w:alias w:val="1184"/>
                <w:tag w:val="1184"/>
                <w:id w:val="-35981914"/>
                <w:text w:multiLine="1"/>
              </w:sdtPr>
              <w:sdtEndPr/>
              <w:sdtContent>
                <w:r w:rsidR="00516674">
                  <w:rPr>
                    <w:rFonts w:ascii="Arial" w:hAnsi="Arial"/>
                    <w:b/>
                    <w:bCs/>
                    <w:noProof w:val="0"/>
                    <w:sz w:val="26"/>
                    <w:szCs w:val="26"/>
                    <w:rtl/>
                  </w:rPr>
                  <w:t>נתבע</w:t>
                </w:r>
                <w:r w:rsidR="00516674">
                  <w:rPr>
                    <w:rFonts w:ascii="Arial" w:hAnsi="Arial" w:hint="cs"/>
                    <w:b/>
                    <w:bCs/>
                    <w:noProof w:val="0"/>
                    <w:sz w:val="26"/>
                    <w:szCs w:val="26"/>
                    <w:rtl/>
                  </w:rPr>
                  <w:t>ת</w:t>
                </w:r>
              </w:sdtContent>
            </w:sdt>
          </w:p>
        </w:tc>
        <w:tc>
          <w:tcPr>
            <w:tcW w:w="5571" w:type="dxa"/>
          </w:tcPr>
          <w:p w:rsidR="00516674" w:rsidRDefault="00516674" w:rsidP="007A339F">
            <w:pPr>
              <w:rPr>
                <w:rFonts w:ascii="Arial" w:hAnsi="Arial"/>
                <w:b/>
                <w:bCs/>
                <w:noProof w:val="0"/>
                <w:sz w:val="26"/>
                <w:szCs w:val="26"/>
                <w:rtl/>
              </w:rPr>
            </w:pPr>
          </w:p>
          <w:p w:rsidR="00516674" w:rsidRDefault="008D43B8" w:rsidP="005771F4">
            <w:pPr>
              <w:rPr>
                <w:b/>
                <w:bCs/>
                <w:noProof w:val="0"/>
                <w:sz w:val="26"/>
                <w:szCs w:val="26"/>
                <w:rtl/>
              </w:rPr>
            </w:pPr>
            <w:sdt>
              <w:sdtPr>
                <w:rPr>
                  <w:rtl/>
                </w:rPr>
                <w:alias w:val="1486"/>
                <w:tag w:val="1486"/>
                <w:id w:val="-734459171"/>
                <w:text w:multiLine="1"/>
              </w:sdtPr>
              <w:sdtEndPr/>
              <w:sdtContent>
                <w:r w:rsidR="005771F4">
                  <w:rPr>
                    <w:rFonts w:ascii="Arial" w:hAnsi="Arial" w:hint="cs"/>
                    <w:b/>
                    <w:bCs/>
                    <w:noProof w:val="0"/>
                    <w:sz w:val="26"/>
                    <w:szCs w:val="26"/>
                    <w:rtl/>
                  </w:rPr>
                  <w:t>אלמונית</w:t>
                </w:r>
              </w:sdtContent>
            </w:sdt>
            <w:r w:rsidR="00516674">
              <w:rPr>
                <w:rFonts w:ascii="Arial" w:hAnsi="Arial" w:hint="cs"/>
                <w:b/>
                <w:bCs/>
                <w:noProof w:val="0"/>
                <w:sz w:val="26"/>
                <w:szCs w:val="26"/>
                <w:rtl/>
              </w:rPr>
              <w:t xml:space="preserve"> </w:t>
            </w:r>
          </w:p>
        </w:tc>
      </w:tr>
      <w:tr w:rsidR="00516674" w:rsidTr="007A339F">
        <w:trPr>
          <w:jc w:val="center"/>
        </w:trPr>
        <w:tc>
          <w:tcPr>
            <w:tcW w:w="8820" w:type="dxa"/>
            <w:gridSpan w:val="3"/>
          </w:tcPr>
          <w:p w:rsidR="00516674" w:rsidRDefault="00516674" w:rsidP="007A339F">
            <w:pPr>
              <w:rPr>
                <w:rFonts w:ascii="Arial" w:hAnsi="Arial"/>
                <w:b/>
                <w:bCs/>
                <w:noProof w:val="0"/>
                <w:sz w:val="26"/>
                <w:szCs w:val="26"/>
                <w:rtl/>
              </w:rPr>
            </w:pPr>
          </w:p>
        </w:tc>
      </w:tr>
      <w:tr w:rsidR="00516674" w:rsidRPr="00A978EA" w:rsidTr="007A339F">
        <w:trPr>
          <w:jc w:val="center"/>
        </w:trPr>
        <w:tc>
          <w:tcPr>
            <w:tcW w:w="8820" w:type="dxa"/>
            <w:gridSpan w:val="3"/>
          </w:tcPr>
          <w:p w:rsidR="00516674" w:rsidRPr="00A978EA" w:rsidRDefault="00516674" w:rsidP="007A339F">
            <w:pPr>
              <w:bidi w:val="0"/>
              <w:jc w:val="center"/>
              <w:rPr>
                <w:rFonts w:ascii="Arial" w:hAnsi="Arial"/>
                <w:b/>
                <w:bCs/>
                <w:i/>
                <w:iCs/>
                <w:noProof w:val="0"/>
                <w:sz w:val="36"/>
                <w:szCs w:val="36"/>
                <w:u w:val="single"/>
              </w:rPr>
            </w:pPr>
          </w:p>
          <w:p w:rsidR="00516674" w:rsidRDefault="00516674" w:rsidP="007A339F">
            <w:pPr>
              <w:bidi w:val="0"/>
              <w:jc w:val="center"/>
              <w:rPr>
                <w:rFonts w:ascii="Arial" w:hAnsi="Arial"/>
                <w:b/>
                <w:bCs/>
                <w:i/>
                <w:iCs/>
                <w:noProof w:val="0"/>
                <w:sz w:val="36"/>
                <w:szCs w:val="36"/>
                <w:u w:val="single"/>
                <w:rtl/>
              </w:rPr>
            </w:pPr>
            <w:r w:rsidRPr="00A978EA">
              <w:rPr>
                <w:rFonts w:ascii="Arial" w:hAnsi="Arial"/>
                <w:b/>
                <w:bCs/>
                <w:i/>
                <w:iCs/>
                <w:noProof w:val="0"/>
                <w:sz w:val="36"/>
                <w:szCs w:val="36"/>
                <w:u w:val="single"/>
                <w:rtl/>
              </w:rPr>
              <w:t>פסק דין</w:t>
            </w:r>
          </w:p>
          <w:p w:rsidR="00516674" w:rsidRPr="00A978EA" w:rsidRDefault="00516674" w:rsidP="00516674">
            <w:pPr>
              <w:bidi w:val="0"/>
              <w:jc w:val="center"/>
              <w:rPr>
                <w:rFonts w:ascii="Arial" w:hAnsi="Arial"/>
                <w:b/>
                <w:bCs/>
                <w:i/>
                <w:iCs/>
                <w:noProof w:val="0"/>
                <w:sz w:val="36"/>
                <w:szCs w:val="36"/>
                <w:u w:val="single"/>
              </w:rPr>
            </w:pPr>
          </w:p>
        </w:tc>
      </w:tr>
    </w:tbl>
    <w:p w:rsidR="00516674" w:rsidRDefault="00516674" w:rsidP="00516674">
      <w:pPr>
        <w:spacing w:line="360" w:lineRule="auto"/>
        <w:jc w:val="both"/>
        <w:rPr>
          <w:rFonts w:ascii="David" w:hAnsi="David"/>
          <w:noProof w:val="0"/>
          <w:rtl/>
        </w:rPr>
      </w:pPr>
      <w:r>
        <w:rPr>
          <w:rFonts w:ascii="David" w:hAnsi="David"/>
          <w:rtl/>
        </w:rPr>
        <w:t>לפניי תביעה כספית על סך 136,600 ₪.</w:t>
      </w:r>
    </w:p>
    <w:p w:rsidR="00516674" w:rsidRDefault="00516674" w:rsidP="00516674">
      <w:pPr>
        <w:spacing w:line="360" w:lineRule="auto"/>
        <w:jc w:val="both"/>
        <w:rPr>
          <w:rFonts w:ascii="David" w:hAnsi="David"/>
          <w:rtl/>
        </w:rPr>
      </w:pPr>
    </w:p>
    <w:p w:rsidR="00516674" w:rsidRDefault="00516674" w:rsidP="007C1F8A">
      <w:pPr>
        <w:spacing w:line="360" w:lineRule="auto"/>
        <w:jc w:val="both"/>
        <w:rPr>
          <w:rFonts w:ascii="David" w:hAnsi="David"/>
          <w:rtl/>
        </w:rPr>
      </w:pPr>
      <w:r>
        <w:rPr>
          <w:rFonts w:ascii="David" w:hAnsi="David"/>
          <w:rtl/>
        </w:rPr>
        <w:t xml:space="preserve">התביעה הוגשה על-ידי הגב' </w:t>
      </w:r>
      <w:r w:rsidR="007C1F8A">
        <w:rPr>
          <w:rFonts w:ascii="David" w:hAnsi="David" w:hint="cs"/>
          <w:rtl/>
        </w:rPr>
        <w:t>***</w:t>
      </w:r>
      <w:r>
        <w:rPr>
          <w:rFonts w:ascii="David" w:hAnsi="David"/>
          <w:rtl/>
        </w:rPr>
        <w:t xml:space="preserve"> (להלן: "</w:t>
      </w:r>
      <w:r>
        <w:rPr>
          <w:rFonts w:ascii="David" w:hAnsi="David"/>
          <w:b/>
          <w:bCs/>
          <w:rtl/>
        </w:rPr>
        <w:t>התובעת</w:t>
      </w:r>
      <w:r>
        <w:rPr>
          <w:rFonts w:ascii="David" w:hAnsi="David"/>
          <w:rtl/>
        </w:rPr>
        <w:t xml:space="preserve">"), נגד הגב' </w:t>
      </w:r>
      <w:r w:rsidR="007C1F8A">
        <w:rPr>
          <w:rFonts w:ascii="David" w:hAnsi="David" w:hint="cs"/>
          <w:rtl/>
        </w:rPr>
        <w:t>***</w:t>
      </w:r>
      <w:r>
        <w:rPr>
          <w:rFonts w:ascii="David" w:hAnsi="David"/>
          <w:rtl/>
        </w:rPr>
        <w:t xml:space="preserve"> (להלן: "</w:t>
      </w:r>
      <w:r>
        <w:rPr>
          <w:rFonts w:ascii="David" w:hAnsi="David"/>
          <w:b/>
          <w:bCs/>
          <w:rtl/>
        </w:rPr>
        <w:t>הנתבעת</w:t>
      </w:r>
      <w:r>
        <w:rPr>
          <w:rFonts w:ascii="David" w:hAnsi="David"/>
          <w:rtl/>
        </w:rPr>
        <w:t>").</w:t>
      </w:r>
    </w:p>
    <w:p w:rsidR="00516674" w:rsidRDefault="00516674" w:rsidP="007C1F8A">
      <w:pPr>
        <w:spacing w:line="360" w:lineRule="auto"/>
        <w:jc w:val="both"/>
        <w:rPr>
          <w:rFonts w:ascii="David" w:hAnsi="David"/>
          <w:rtl/>
        </w:rPr>
      </w:pPr>
      <w:r>
        <w:rPr>
          <w:rFonts w:ascii="David" w:hAnsi="David"/>
          <w:rtl/>
        </w:rPr>
        <w:t xml:space="preserve">הנתבעת היא פרודתו של אח התובעת, מר </w:t>
      </w:r>
      <w:r w:rsidR="007C1F8A">
        <w:rPr>
          <w:rFonts w:ascii="David" w:hAnsi="David" w:hint="cs"/>
          <w:rtl/>
        </w:rPr>
        <w:t>ס'</w:t>
      </w:r>
      <w:r>
        <w:rPr>
          <w:rFonts w:ascii="David" w:hAnsi="David"/>
          <w:rtl/>
        </w:rPr>
        <w:t xml:space="preserve"> (להלן: "</w:t>
      </w:r>
      <w:r>
        <w:rPr>
          <w:rFonts w:ascii="David" w:hAnsi="David"/>
          <w:b/>
          <w:bCs/>
          <w:rtl/>
        </w:rPr>
        <w:t>ס</w:t>
      </w:r>
      <w:r w:rsidR="007C1F8A">
        <w:rPr>
          <w:rFonts w:ascii="David" w:hAnsi="David" w:hint="cs"/>
          <w:b/>
          <w:bCs/>
          <w:rtl/>
        </w:rPr>
        <w:t>'</w:t>
      </w:r>
      <w:r>
        <w:rPr>
          <w:rFonts w:ascii="David" w:hAnsi="David"/>
          <w:rtl/>
        </w:rPr>
        <w:t>").</w:t>
      </w:r>
    </w:p>
    <w:p w:rsidR="00516674" w:rsidRDefault="00516674" w:rsidP="00516674">
      <w:pPr>
        <w:spacing w:line="360" w:lineRule="auto"/>
        <w:jc w:val="both"/>
        <w:rPr>
          <w:rFonts w:ascii="David" w:hAnsi="David"/>
          <w:rtl/>
        </w:rPr>
      </w:pPr>
    </w:p>
    <w:p w:rsidR="00516674" w:rsidRDefault="00516674" w:rsidP="00516674">
      <w:pPr>
        <w:spacing w:line="360" w:lineRule="auto"/>
        <w:jc w:val="both"/>
        <w:rPr>
          <w:rFonts w:ascii="David" w:hAnsi="David"/>
        </w:rPr>
      </w:pPr>
      <w:r>
        <w:rPr>
          <w:rFonts w:ascii="David" w:hAnsi="David"/>
          <w:b/>
          <w:bCs/>
          <w:u w:val="single"/>
          <w:rtl/>
        </w:rPr>
        <w:t>תמצית טענות התובעת</w:t>
      </w:r>
    </w:p>
    <w:p w:rsidR="00516674" w:rsidRDefault="00516674" w:rsidP="00516674">
      <w:pPr>
        <w:spacing w:line="360" w:lineRule="auto"/>
        <w:jc w:val="both"/>
        <w:rPr>
          <w:rFonts w:ascii="David" w:hAnsi="David"/>
          <w:rtl/>
        </w:rPr>
      </w:pPr>
    </w:p>
    <w:p w:rsidR="00516674" w:rsidRDefault="00516674" w:rsidP="00732377">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הינה בעלים של דירת מגורים מרוהטת ששטחה 120 מ"ר אשר נמצאת באזור </w:t>
      </w:r>
      <w:r w:rsidR="00732377">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הדירה</w:t>
      </w:r>
      <w:r>
        <w:rPr>
          <w:rFonts w:ascii="David" w:hAnsi="David" w:cs="David"/>
          <w:sz w:val="24"/>
          <w:szCs w:val="24"/>
          <w:rtl/>
        </w:rPr>
        <w:t>").</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רכשה את הדירה מאחיה </w:t>
      </w:r>
      <w:r w:rsidR="003254EE">
        <w:rPr>
          <w:rFonts w:ascii="David" w:hAnsi="David" w:cs="David"/>
          <w:sz w:val="24"/>
          <w:szCs w:val="24"/>
          <w:rtl/>
        </w:rPr>
        <w:t>ס'</w:t>
      </w:r>
      <w:r>
        <w:rPr>
          <w:rFonts w:ascii="David" w:hAnsi="David" w:cs="David"/>
          <w:sz w:val="24"/>
          <w:szCs w:val="24"/>
          <w:rtl/>
        </w:rPr>
        <w:t xml:space="preserve"> ביום 30.6.2016, כאשר התמורה שולמה בתשלומים. לאחר פירעון מלוא התמורה המוסכמת, ערך </w:t>
      </w:r>
      <w:r w:rsidR="003254EE">
        <w:rPr>
          <w:rFonts w:ascii="David" w:hAnsi="David" w:cs="David"/>
          <w:sz w:val="24"/>
          <w:szCs w:val="24"/>
          <w:rtl/>
        </w:rPr>
        <w:t>ס'</w:t>
      </w:r>
      <w:r>
        <w:rPr>
          <w:rFonts w:ascii="David" w:hAnsi="David" w:cs="David"/>
          <w:sz w:val="24"/>
          <w:szCs w:val="24"/>
          <w:rtl/>
        </w:rPr>
        <w:t xml:space="preserve"> לתובעת ייפוי כוח בלתי חוזר. </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הנתבעת פלשה לדירה בתחילת חודש נובמבר 2020 בעיצומה של מגפת הקורונה, ללא ידיעת התובעת, ללא הסכמתה וללא אישורה.</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הנתבעת ממשיכה להחזיק בדירה האמורה עד עצם היום הזה חרף מחאת התובעת ודרישותיה מהנתבעת כי תסלק את ידה מהדירה ותחזיר את החזקה בה לתובעת, בכך מונעת מהתובעת לעשות שימוש כלשהו בדירה האמורה – שימוש עצמי או השכרה לצד שלישי והפקת הכנסה מכך.</w:t>
      </w:r>
    </w:p>
    <w:p w:rsidR="00516674" w:rsidRDefault="00516674" w:rsidP="00516674">
      <w:pPr>
        <w:spacing w:line="360" w:lineRule="auto"/>
        <w:jc w:val="both"/>
        <w:rPr>
          <w:rFonts w:ascii="David" w:hAnsi="David"/>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בעקבות הפלישה, התובעת הגישה תלונה במשטרת ישראל ובמשטרה הפלסטינית כנגד הנתבעת.</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דמי השימוש הנהוגים לדירה מרוהטת דומה לדירה נשוא התביעה הם בסך 1,000$ לחודש.</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התובעת תטען כי על הנתבעת מוטלת החובה לשלם לה דמי שימוש ראויים בסך 111,600 ₪, בגין התקופה שמיום בו פלשה לדירה בחודש ספטמבר 2020 ועד להגשת התביעה בחודש מרץ 2023 וזאת מכוח כל דין לרבות דיני עשיית עושר ולא במשפט, וכן לפצות את התובעת או לשפותה בגין נזקיה, לרבות בגין עוגמת נפש, בסך 25,000 ₪.</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spacing w:line="360" w:lineRule="auto"/>
        <w:jc w:val="both"/>
        <w:rPr>
          <w:rFonts w:ascii="David" w:hAnsi="David"/>
        </w:rPr>
      </w:pPr>
      <w:r>
        <w:rPr>
          <w:rFonts w:ascii="David" w:hAnsi="David"/>
          <w:b/>
          <w:bCs/>
          <w:u w:val="single"/>
          <w:rtl/>
        </w:rPr>
        <w:t>תמצית טענות הנתבעת</w:t>
      </w:r>
    </w:p>
    <w:p w:rsidR="00516674" w:rsidRDefault="00516674" w:rsidP="00516674">
      <w:pPr>
        <w:spacing w:line="360" w:lineRule="auto"/>
        <w:jc w:val="both"/>
        <w:rPr>
          <w:rFonts w:ascii="David" w:hAnsi="David"/>
          <w:rtl/>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הנתבעת ו</w:t>
      </w:r>
      <w:r w:rsidR="003254EE">
        <w:rPr>
          <w:rFonts w:ascii="David" w:hAnsi="David" w:cs="David"/>
          <w:sz w:val="24"/>
          <w:szCs w:val="24"/>
          <w:rtl/>
        </w:rPr>
        <w:t>ס'</w:t>
      </w:r>
      <w:r>
        <w:rPr>
          <w:rFonts w:ascii="David" w:hAnsi="David" w:cs="David"/>
          <w:sz w:val="24"/>
          <w:szCs w:val="24"/>
          <w:rtl/>
        </w:rPr>
        <w:t xml:space="preserve"> נמצאים בהליכי גירושין.</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הדירה כלל לא שייכת לתובעת. לא בכדי לא צירפה התובעת שום מסמך שמעיד מי בעל הזכויות בדירה.</w:t>
      </w:r>
    </w:p>
    <w:p w:rsidR="00516674" w:rsidRDefault="00516674" w:rsidP="00516674">
      <w:pPr>
        <w:spacing w:line="360" w:lineRule="auto"/>
        <w:jc w:val="both"/>
        <w:rPr>
          <w:rFonts w:ascii="David" w:hAnsi="David"/>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הדירה נרכשה בשנת 2015 תמורת סך של 70,000$. הנתבעת שילמה עבור הדירה סך של 90,000$ על מנת להשקיע גם בפנים הדירה. </w:t>
      </w:r>
      <w:r w:rsidR="003254EE">
        <w:rPr>
          <w:rFonts w:ascii="David" w:hAnsi="David" w:cs="David"/>
          <w:sz w:val="24"/>
          <w:szCs w:val="24"/>
          <w:rtl/>
        </w:rPr>
        <w:t>ס'</w:t>
      </w:r>
      <w:r>
        <w:rPr>
          <w:rFonts w:ascii="David" w:hAnsi="David" w:cs="David"/>
          <w:sz w:val="24"/>
          <w:szCs w:val="24"/>
          <w:rtl/>
        </w:rPr>
        <w:t xml:space="preserve"> לא שילם פרוטה בתמורה לדירה.</w:t>
      </w:r>
    </w:p>
    <w:p w:rsidR="00516674" w:rsidRPr="00A978EA" w:rsidRDefault="00516674" w:rsidP="00516674">
      <w:pPr>
        <w:pStyle w:val="a9"/>
        <w:rPr>
          <w:rFonts w:ascii="David" w:hAnsi="David" w:cs="David"/>
          <w:sz w:val="24"/>
          <w:szCs w:val="24"/>
          <w:rtl/>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התובעת נתנה את כל הכסף ל</w:t>
      </w:r>
      <w:r w:rsidR="003254EE">
        <w:rPr>
          <w:rFonts w:ascii="David" w:hAnsi="David" w:cs="David"/>
          <w:sz w:val="24"/>
          <w:szCs w:val="24"/>
          <w:rtl/>
        </w:rPr>
        <w:t>ס'</w:t>
      </w:r>
      <w:r>
        <w:rPr>
          <w:rFonts w:ascii="David" w:hAnsi="David" w:cs="David"/>
          <w:sz w:val="24"/>
          <w:szCs w:val="24"/>
          <w:rtl/>
        </w:rPr>
        <w:t xml:space="preserve"> שהונה אותה ורשם את הדירה על שמו במקום על שמה כפי שהבטיח.</w:t>
      </w:r>
    </w:p>
    <w:p w:rsidR="00516674" w:rsidRDefault="00516674" w:rsidP="00516674">
      <w:pPr>
        <w:spacing w:line="360" w:lineRule="auto"/>
        <w:jc w:val="both"/>
        <w:rPr>
          <w:rFonts w:ascii="David" w:hAnsi="David"/>
        </w:rPr>
      </w:pPr>
    </w:p>
    <w:p w:rsidR="00516674" w:rsidRDefault="003254EE"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ס'</w:t>
      </w:r>
      <w:r w:rsidR="00516674">
        <w:rPr>
          <w:rFonts w:ascii="David" w:hAnsi="David" w:cs="David"/>
          <w:sz w:val="24"/>
          <w:szCs w:val="24"/>
          <w:rtl/>
        </w:rPr>
        <w:t xml:space="preserve"> עזב את הבית ביום 15.6.2019 והנתבעת מתגוררת בדירה עם שלוש בנותיה הקטינות. </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התובעת הגיעה לדירת הנתבעת ביום 20.10.2020, ביחד עם </w:t>
      </w:r>
      <w:r w:rsidR="003254EE">
        <w:rPr>
          <w:rFonts w:ascii="David" w:hAnsi="David" w:cs="David"/>
          <w:sz w:val="24"/>
          <w:szCs w:val="24"/>
          <w:rtl/>
        </w:rPr>
        <w:t>ס'</w:t>
      </w:r>
      <w:r>
        <w:rPr>
          <w:rFonts w:ascii="David" w:hAnsi="David" w:cs="David"/>
          <w:sz w:val="24"/>
          <w:szCs w:val="24"/>
          <w:rtl/>
        </w:rPr>
        <w:t xml:space="preserve"> ובני דודים, אשר ניסו לפרוץ את הדלת, קיללו ואיימו לרצוח אותה. המשטרה הגיעה וניתן נגדם צו הרחקה.</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הדירה כלל לא רשומה אצל רשם המקרקעין כיוון שנבנתה ללא היתרים.</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732377">
      <w:pPr>
        <w:pStyle w:val="a9"/>
        <w:numPr>
          <w:ilvl w:val="0"/>
          <w:numId w:val="1"/>
        </w:numPr>
        <w:spacing w:after="0" w:line="360" w:lineRule="auto"/>
        <w:jc w:val="both"/>
        <w:rPr>
          <w:rFonts w:ascii="David" w:hAnsi="David" w:cs="David"/>
          <w:sz w:val="24"/>
          <w:szCs w:val="24"/>
        </w:rPr>
      </w:pPr>
      <w:r>
        <w:rPr>
          <w:rFonts w:ascii="David" w:hAnsi="David" w:cs="David"/>
          <w:sz w:val="24"/>
          <w:szCs w:val="24"/>
          <w:rtl/>
        </w:rPr>
        <w:t>דמי שכירות ב</w:t>
      </w:r>
      <w:r w:rsidR="00732377">
        <w:rPr>
          <w:rFonts w:ascii="David" w:hAnsi="David" w:cs="David" w:hint="cs"/>
          <w:sz w:val="24"/>
          <w:szCs w:val="24"/>
          <w:rtl/>
        </w:rPr>
        <w:t xml:space="preserve">*** </w:t>
      </w:r>
      <w:r>
        <w:rPr>
          <w:rFonts w:ascii="David" w:hAnsi="David" w:cs="David"/>
          <w:sz w:val="24"/>
          <w:szCs w:val="24"/>
          <w:rtl/>
        </w:rPr>
        <w:t>לא עולים על סך של 1,700 ₪.</w:t>
      </w:r>
    </w:p>
    <w:p w:rsidR="00516674" w:rsidRDefault="00516674" w:rsidP="00516674">
      <w:pPr>
        <w:spacing w:line="360" w:lineRule="auto"/>
        <w:jc w:val="both"/>
        <w:rPr>
          <w:rFonts w:ascii="David" w:hAnsi="David"/>
        </w:rPr>
      </w:pPr>
    </w:p>
    <w:p w:rsidR="00516674" w:rsidRDefault="00516674" w:rsidP="00732377">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התובעת הגישה תביעה לבית המשפט ב</w:t>
      </w:r>
      <w:r w:rsidR="00732377">
        <w:rPr>
          <w:rFonts w:ascii="David" w:hAnsi="David" w:cs="David" w:hint="cs"/>
          <w:sz w:val="24"/>
          <w:szCs w:val="24"/>
          <w:rtl/>
        </w:rPr>
        <w:t xml:space="preserve">*** </w:t>
      </w:r>
      <w:r>
        <w:rPr>
          <w:rFonts w:ascii="David" w:hAnsi="David" w:cs="David"/>
          <w:sz w:val="24"/>
          <w:szCs w:val="24"/>
          <w:rtl/>
        </w:rPr>
        <w:t>ותביעתה נדחתה.</w:t>
      </w:r>
    </w:p>
    <w:p w:rsidR="00516674" w:rsidRDefault="00516674" w:rsidP="00516674">
      <w:pPr>
        <w:spacing w:line="360" w:lineRule="auto"/>
        <w:jc w:val="both"/>
        <w:rPr>
          <w:rFonts w:ascii="David" w:hAnsi="David"/>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התביעה הוגשה בחוסר תום לב ובמרמה ויש לדחותה.</w:t>
      </w:r>
    </w:p>
    <w:p w:rsidR="00516674" w:rsidRDefault="00516674" w:rsidP="00516674">
      <w:pPr>
        <w:pStyle w:val="a9"/>
        <w:spacing w:line="360" w:lineRule="auto"/>
        <w:rPr>
          <w:rFonts w:ascii="David" w:hAnsi="David" w:cs="David"/>
          <w:sz w:val="24"/>
          <w:szCs w:val="24"/>
        </w:rPr>
      </w:pPr>
    </w:p>
    <w:p w:rsidR="0073672E" w:rsidRDefault="0073672E" w:rsidP="00516674">
      <w:pPr>
        <w:spacing w:line="360" w:lineRule="auto"/>
        <w:jc w:val="both"/>
        <w:rPr>
          <w:rFonts w:ascii="David" w:hAnsi="David"/>
          <w:b/>
          <w:bCs/>
          <w:u w:val="single"/>
          <w:rtl/>
        </w:rPr>
      </w:pPr>
    </w:p>
    <w:p w:rsidR="00516674" w:rsidRDefault="00516674" w:rsidP="00516674">
      <w:pPr>
        <w:spacing w:line="360" w:lineRule="auto"/>
        <w:jc w:val="both"/>
        <w:rPr>
          <w:rFonts w:ascii="David" w:hAnsi="David"/>
          <w:b/>
          <w:bCs/>
          <w:u w:val="single"/>
          <w:rtl/>
        </w:rPr>
      </w:pPr>
      <w:r>
        <w:rPr>
          <w:rFonts w:ascii="David" w:hAnsi="David"/>
          <w:b/>
          <w:bCs/>
          <w:u w:val="single"/>
          <w:rtl/>
        </w:rPr>
        <w:lastRenderedPageBreak/>
        <w:t>מתווה דיוני</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הגשת כתב ההגנה ולאחר עיון בכתבי הטענות, ביום 29.5.23 ניתנה החלטה אשר לפיה בכוונת בית המשפט לקבוע את התיק להוכחות ללא קיום קדם משפט מכוח הסמכות הקבועה בתקנה 22 לתקנות בית המשפט לענייני משפחה (סדרי דין), התשפ"א–2020. לצדדים ניתנה אפשרות להתנגד למתווה דיוני זה ולחלופין, להגיש הודעה בעניין זימון עדים חיצוניים.</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הצדדים לא התנגדו למתווה המוצע לניהול ההליך וכל צד הגיש רשימת עדים חיצוניים מטעמו.</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הגשת רשימת העדים, נקבע מועד להוכחות אשר נדחה למועד אחר תוך חיוב התובעת בהוצאות משפט לנוכח העובדה כי שעות ספורות לפני מועד הדיון הוגש מטעמה תיק מוצגים הכולל 124 מסמכים, שחלקם לא מתורגמים לשפה העברית.</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ביום 13.12.23 התקיים דיון הוכחות (להלן: "</w:t>
      </w:r>
      <w:r>
        <w:rPr>
          <w:rFonts w:ascii="David" w:hAnsi="David" w:cs="David"/>
          <w:b/>
          <w:bCs/>
          <w:sz w:val="24"/>
          <w:szCs w:val="24"/>
          <w:rtl/>
        </w:rPr>
        <w:t>הדיון</w:t>
      </w:r>
      <w:r>
        <w:rPr>
          <w:rFonts w:ascii="David" w:hAnsi="David" w:cs="David"/>
          <w:sz w:val="24"/>
          <w:szCs w:val="24"/>
          <w:rtl/>
        </w:rPr>
        <w:t>") במסגרתו נחקרו הצדדים ועדים חיצוניים מטעמם ובתום הדיון ב"כ הצדדים סיכמו את טיעוניהם בעל פה.</w:t>
      </w:r>
    </w:p>
    <w:p w:rsidR="00516674" w:rsidRDefault="00516674" w:rsidP="00516674">
      <w:pPr>
        <w:pStyle w:val="a9"/>
        <w:spacing w:after="0" w:line="360" w:lineRule="auto"/>
        <w:rPr>
          <w:rFonts w:ascii="David" w:hAnsi="David" w:cs="David"/>
          <w:sz w:val="24"/>
          <w:szCs w:val="24"/>
        </w:rPr>
      </w:pPr>
    </w:p>
    <w:p w:rsidR="00516674" w:rsidRDefault="00516674" w:rsidP="00516674">
      <w:pPr>
        <w:spacing w:line="360" w:lineRule="auto"/>
        <w:jc w:val="both"/>
        <w:rPr>
          <w:rFonts w:ascii="David" w:hAnsi="David"/>
          <w:b/>
          <w:bCs/>
          <w:u w:val="single"/>
          <w:rtl/>
        </w:rPr>
      </w:pPr>
      <w:r>
        <w:rPr>
          <w:rFonts w:ascii="David" w:hAnsi="David"/>
          <w:b/>
          <w:bCs/>
          <w:u w:val="single"/>
          <w:rtl/>
        </w:rPr>
        <w:t>דיון והכרעה</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עיון במלוא התשתית הראייתית, הגעתי למסקנה כי דין התביעה להידחות.</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הן התובעת והן הנתבעת "השקיעו מרץ" בניסיון להוכיח מי מהן בעלת הזכויות בדירה. התובעת טענה כי היא רכשה את הדירה מ</w:t>
      </w:r>
      <w:r w:rsidR="003254EE">
        <w:rPr>
          <w:rFonts w:ascii="David" w:hAnsi="David" w:cs="David"/>
          <w:sz w:val="24"/>
          <w:szCs w:val="24"/>
          <w:rtl/>
        </w:rPr>
        <w:t>ס'</w:t>
      </w:r>
      <w:r>
        <w:rPr>
          <w:rFonts w:ascii="David" w:hAnsi="David" w:cs="David"/>
          <w:sz w:val="24"/>
          <w:szCs w:val="24"/>
          <w:rtl/>
        </w:rPr>
        <w:t xml:space="preserve"> בשנת 2016 ואילו הנתבעת טענה כי היא מימנה את רכישת הדירה בשנת 2014.</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כבר עתה יצוין כי גרסאות התובעת והנתבעת וכן העדים מטעמן לא הצטיינו בקוהרנטיות מיוחדת בלשון המעטה וחלקן לא נתמכו בראיות כלל, </w:t>
      </w:r>
      <w:r>
        <w:rPr>
          <w:rFonts w:ascii="David" w:hAnsi="David" w:cs="David"/>
          <w:sz w:val="24"/>
          <w:szCs w:val="24"/>
          <w:u w:val="single"/>
          <w:rtl/>
        </w:rPr>
        <w:t>כך למשל</w:t>
      </w:r>
      <w:r>
        <w:rPr>
          <w:rFonts w:ascii="David" w:hAnsi="David" w:cs="David"/>
          <w:sz w:val="24"/>
          <w:szCs w:val="24"/>
          <w:rtl/>
        </w:rPr>
        <w:t xml:space="preserve">: </w:t>
      </w:r>
    </w:p>
    <w:p w:rsidR="00516674" w:rsidRDefault="00516674" w:rsidP="00516674">
      <w:pPr>
        <w:pStyle w:val="a9"/>
        <w:rPr>
          <w:rFonts w:ascii="David" w:hAnsi="David" w:cs="David"/>
          <w:sz w:val="24"/>
          <w:szCs w:val="24"/>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rtl/>
        </w:rPr>
        <w:t xml:space="preserve">התובעת צירפה הסכם רכישה בינה לבין </w:t>
      </w:r>
      <w:r w:rsidR="003254EE">
        <w:rPr>
          <w:rFonts w:ascii="David" w:hAnsi="David" w:cs="David"/>
          <w:sz w:val="24"/>
          <w:szCs w:val="24"/>
          <w:rtl/>
        </w:rPr>
        <w:t>ס'</w:t>
      </w:r>
      <w:r>
        <w:rPr>
          <w:rFonts w:ascii="David" w:hAnsi="David" w:cs="David"/>
          <w:sz w:val="24"/>
          <w:szCs w:val="24"/>
          <w:rtl/>
        </w:rPr>
        <w:t xml:space="preserve"> (להלן: "</w:t>
      </w:r>
      <w:r>
        <w:rPr>
          <w:rFonts w:ascii="David" w:hAnsi="David" w:cs="David"/>
          <w:b/>
          <w:bCs/>
          <w:sz w:val="24"/>
          <w:szCs w:val="24"/>
          <w:rtl/>
        </w:rPr>
        <w:t>ההסכם</w:t>
      </w:r>
      <w:r>
        <w:rPr>
          <w:rFonts w:ascii="David" w:hAnsi="David" w:cs="David"/>
          <w:sz w:val="24"/>
          <w:szCs w:val="24"/>
          <w:rtl/>
        </w:rPr>
        <w:t>") אשר לפיו תמורת הדירה שולמה ל</w:t>
      </w:r>
      <w:r w:rsidR="003254EE">
        <w:rPr>
          <w:rFonts w:ascii="David" w:hAnsi="David" w:cs="David"/>
          <w:sz w:val="24"/>
          <w:szCs w:val="24"/>
          <w:rtl/>
        </w:rPr>
        <w:t>ס'</w:t>
      </w:r>
      <w:r>
        <w:rPr>
          <w:rFonts w:ascii="David" w:hAnsi="David" w:cs="David"/>
          <w:sz w:val="24"/>
          <w:szCs w:val="24"/>
          <w:rtl/>
        </w:rPr>
        <w:t xml:space="preserve"> במספר תשלומים כאשר התשלום הראשון כולל חובות של </w:t>
      </w:r>
      <w:r w:rsidR="003254EE">
        <w:rPr>
          <w:rFonts w:ascii="David" w:hAnsi="David" w:cs="David"/>
          <w:sz w:val="24"/>
          <w:szCs w:val="24"/>
          <w:rtl/>
        </w:rPr>
        <w:t>ס'</w:t>
      </w:r>
      <w:r>
        <w:rPr>
          <w:rFonts w:ascii="David" w:hAnsi="David" w:cs="David"/>
          <w:sz w:val="24"/>
          <w:szCs w:val="24"/>
          <w:rtl/>
        </w:rPr>
        <w:t xml:space="preserve"> כלפיה בסך של 20,000 דינר ירדני </w:t>
      </w:r>
      <w:r>
        <w:rPr>
          <w:rFonts w:ascii="David" w:hAnsi="David" w:cs="David"/>
          <w:b/>
          <w:bCs/>
          <w:sz w:val="24"/>
          <w:szCs w:val="24"/>
          <w:rtl/>
        </w:rPr>
        <w:t>ראו: עמ' 19 לתיק המוצגים של התובעת</w:t>
      </w:r>
      <w:r>
        <w:rPr>
          <w:rFonts w:ascii="David" w:hAnsi="David" w:cs="David"/>
          <w:sz w:val="24"/>
          <w:szCs w:val="24"/>
          <w:rtl/>
        </w:rPr>
        <w:t>.</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rtl/>
        </w:rPr>
        <w:t xml:space="preserve">התובעת העידה כי </w:t>
      </w:r>
      <w:r w:rsidR="003254EE">
        <w:rPr>
          <w:rFonts w:ascii="David" w:hAnsi="David" w:cs="David"/>
          <w:sz w:val="24"/>
          <w:szCs w:val="24"/>
          <w:rtl/>
        </w:rPr>
        <w:t>ס'</w:t>
      </w:r>
      <w:r>
        <w:rPr>
          <w:rFonts w:ascii="David" w:hAnsi="David" w:cs="David"/>
          <w:sz w:val="24"/>
          <w:szCs w:val="24"/>
          <w:rtl/>
        </w:rPr>
        <w:t xml:space="preserve"> נטל ממנה סך זה בשנת 2014 בשל דרישת רשות המיסים </w:t>
      </w:r>
      <w:r>
        <w:rPr>
          <w:rFonts w:ascii="David" w:hAnsi="David" w:cs="David"/>
          <w:b/>
          <w:bCs/>
          <w:sz w:val="24"/>
          <w:szCs w:val="24"/>
          <w:rtl/>
        </w:rPr>
        <w:t>ראו: פרוט' עמ' 12 ש' 5-9</w:t>
      </w:r>
      <w:r>
        <w:rPr>
          <w:rFonts w:ascii="David" w:hAnsi="David" w:cs="David"/>
          <w:sz w:val="24"/>
          <w:szCs w:val="24"/>
          <w:rtl/>
        </w:rPr>
        <w:t>.</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rtl/>
        </w:rPr>
        <w:lastRenderedPageBreak/>
        <w:t xml:space="preserve">גרסתו של </w:t>
      </w:r>
      <w:r w:rsidR="003254EE">
        <w:rPr>
          <w:rFonts w:ascii="David" w:hAnsi="David" w:cs="David"/>
          <w:sz w:val="24"/>
          <w:szCs w:val="24"/>
          <w:rtl/>
        </w:rPr>
        <w:t>ס'</w:t>
      </w:r>
      <w:r>
        <w:rPr>
          <w:rFonts w:ascii="David" w:hAnsi="David" w:cs="David"/>
          <w:sz w:val="24"/>
          <w:szCs w:val="24"/>
          <w:rtl/>
        </w:rPr>
        <w:t xml:space="preserve"> בעניין זה הייתה שונה בתכלית. </w:t>
      </w:r>
      <w:r w:rsidR="003254EE">
        <w:rPr>
          <w:rFonts w:ascii="David" w:hAnsi="David" w:cs="David"/>
          <w:sz w:val="24"/>
          <w:szCs w:val="24"/>
          <w:rtl/>
        </w:rPr>
        <w:t>ס'</w:t>
      </w:r>
      <w:r>
        <w:rPr>
          <w:rFonts w:ascii="David" w:hAnsi="David" w:cs="David"/>
          <w:sz w:val="24"/>
          <w:szCs w:val="24"/>
          <w:rtl/>
        </w:rPr>
        <w:t xml:space="preserve"> הכחיש את טענת התובעת כי סך של 20,000 דינר ירדני ניתן לו לסילוק חוב לרשות המסים </w:t>
      </w:r>
      <w:r>
        <w:rPr>
          <w:rFonts w:ascii="David" w:hAnsi="David" w:cs="David"/>
          <w:b/>
          <w:bCs/>
          <w:sz w:val="24"/>
          <w:szCs w:val="24"/>
          <w:rtl/>
        </w:rPr>
        <w:t>ראו: פרוט' עמ' 25 ש' 4-5</w:t>
      </w:r>
      <w:r>
        <w:rPr>
          <w:rFonts w:ascii="David" w:hAnsi="David" w:cs="David"/>
          <w:sz w:val="24"/>
          <w:szCs w:val="24"/>
          <w:rtl/>
        </w:rPr>
        <w:t xml:space="preserve"> שכן רשות המיסים ויתרה על כל חוב כלפיו </w:t>
      </w:r>
      <w:r>
        <w:rPr>
          <w:rFonts w:ascii="David" w:hAnsi="David" w:cs="David"/>
          <w:b/>
          <w:bCs/>
          <w:sz w:val="24"/>
          <w:szCs w:val="24"/>
          <w:rtl/>
        </w:rPr>
        <w:t>ראו: פרוט' עמ' 24 ש' 4-5</w:t>
      </w:r>
      <w:r>
        <w:rPr>
          <w:rFonts w:ascii="David" w:hAnsi="David" w:cs="David"/>
          <w:sz w:val="24"/>
          <w:szCs w:val="24"/>
          <w:rtl/>
        </w:rPr>
        <w:t xml:space="preserve"> וכי הכסף שניתן לו על-ידי התובעת בשנת 2014 שימש אותו לצורך רכישת הדירה </w:t>
      </w:r>
      <w:r>
        <w:rPr>
          <w:rFonts w:ascii="David" w:hAnsi="David" w:cs="David"/>
          <w:b/>
          <w:bCs/>
          <w:sz w:val="24"/>
          <w:szCs w:val="24"/>
          <w:rtl/>
        </w:rPr>
        <w:t xml:space="preserve">ראו: פרוט' עמ' 25 ש' 1-3, </w:t>
      </w:r>
      <w:r>
        <w:rPr>
          <w:rFonts w:ascii="David" w:hAnsi="David" w:cs="David"/>
          <w:sz w:val="24"/>
          <w:szCs w:val="24"/>
          <w:rtl/>
        </w:rPr>
        <w:t xml:space="preserve">כאשר גרסה זו לא מתיישבת עם הגרסה שלפיה בשנת 2014 בחשבון הבנק של </w:t>
      </w:r>
      <w:r w:rsidR="003254EE">
        <w:rPr>
          <w:rFonts w:ascii="David" w:hAnsi="David" w:cs="David"/>
          <w:sz w:val="24"/>
          <w:szCs w:val="24"/>
          <w:rtl/>
        </w:rPr>
        <w:t>ס'</w:t>
      </w:r>
      <w:r>
        <w:rPr>
          <w:rFonts w:ascii="David" w:hAnsi="David" w:cs="David"/>
          <w:sz w:val="24"/>
          <w:szCs w:val="24"/>
          <w:rtl/>
        </w:rPr>
        <w:t xml:space="preserve"> היה סך של 100,000 ₪ וכספים אלה שימשו אותו לצורך רכישת הדירה </w:t>
      </w:r>
      <w:r>
        <w:rPr>
          <w:rFonts w:ascii="David" w:hAnsi="David" w:cs="David"/>
          <w:b/>
          <w:bCs/>
          <w:sz w:val="24"/>
          <w:szCs w:val="24"/>
          <w:rtl/>
        </w:rPr>
        <w:t>ראו: פרוט' עמ' 24 ש' 16-17</w:t>
      </w:r>
      <w:r>
        <w:rPr>
          <w:rFonts w:ascii="David" w:hAnsi="David" w:cs="David"/>
          <w:sz w:val="24"/>
          <w:szCs w:val="24"/>
          <w:rtl/>
        </w:rPr>
        <w:t xml:space="preserve">. </w:t>
      </w:r>
    </w:p>
    <w:p w:rsidR="00516674" w:rsidRDefault="00516674" w:rsidP="00516674">
      <w:pPr>
        <w:pStyle w:val="a9"/>
        <w:spacing w:after="0" w:line="360" w:lineRule="auto"/>
        <w:ind w:left="360"/>
        <w:jc w:val="both"/>
        <w:rPr>
          <w:rFonts w:ascii="David" w:hAnsi="David" w:cs="David"/>
          <w:sz w:val="24"/>
          <w:szCs w:val="24"/>
          <w:rtl/>
        </w:rPr>
      </w:pPr>
    </w:p>
    <w:p w:rsidR="00516674" w:rsidRDefault="003254EE" w:rsidP="00516674">
      <w:pPr>
        <w:pStyle w:val="a9"/>
        <w:spacing w:after="0" w:line="360" w:lineRule="auto"/>
        <w:ind w:left="360"/>
        <w:jc w:val="both"/>
        <w:rPr>
          <w:rFonts w:ascii="David" w:hAnsi="David" w:cs="David"/>
          <w:sz w:val="24"/>
          <w:szCs w:val="24"/>
          <w:rtl/>
        </w:rPr>
      </w:pPr>
      <w:r>
        <w:rPr>
          <w:rFonts w:ascii="David" w:hAnsi="David" w:cs="David"/>
          <w:sz w:val="24"/>
          <w:szCs w:val="24"/>
          <w:rtl/>
        </w:rPr>
        <w:t>ס'</w:t>
      </w:r>
      <w:r w:rsidR="00516674">
        <w:rPr>
          <w:rFonts w:ascii="David" w:hAnsi="David" w:cs="David"/>
          <w:sz w:val="24"/>
          <w:szCs w:val="24"/>
          <w:rtl/>
        </w:rPr>
        <w:t xml:space="preserve"> אומנם טען כי היה ברשותו סך של 100,000 ₪ בלבד והדירה נרכשה תמורת סך של 300,000 ₪ </w:t>
      </w:r>
      <w:r w:rsidR="00516674">
        <w:rPr>
          <w:rFonts w:ascii="David" w:hAnsi="David" w:cs="David"/>
          <w:b/>
          <w:bCs/>
          <w:sz w:val="24"/>
          <w:szCs w:val="24"/>
          <w:rtl/>
        </w:rPr>
        <w:t>ראו: פרוט' עמ' 24 ש' 9-10</w:t>
      </w:r>
      <w:r w:rsidR="00516674">
        <w:rPr>
          <w:rFonts w:ascii="David" w:hAnsi="David" w:cs="David"/>
          <w:sz w:val="24"/>
          <w:szCs w:val="24"/>
          <w:rtl/>
        </w:rPr>
        <w:t xml:space="preserve"> כך שאת ההפרש הוא שילם באמצעות הכספים שנטל מהתובעת כהלוואה </w:t>
      </w:r>
      <w:r w:rsidR="00516674">
        <w:rPr>
          <w:rFonts w:ascii="David" w:hAnsi="David" w:cs="David"/>
          <w:b/>
          <w:bCs/>
          <w:sz w:val="24"/>
          <w:szCs w:val="24"/>
          <w:rtl/>
        </w:rPr>
        <w:t>ראו: פרוט' עמ' 16-18</w:t>
      </w:r>
      <w:r w:rsidR="00516674">
        <w:rPr>
          <w:rFonts w:ascii="David" w:hAnsi="David" w:cs="David"/>
          <w:sz w:val="24"/>
          <w:szCs w:val="24"/>
          <w:rtl/>
        </w:rPr>
        <w:t xml:space="preserve"> ואולם גרסה זו לא מתיישבת עם פירוט התשלומים בהתאם להסכם רכישת הדירה שלפיו במועד החתימה – ביום 22.2.14 – היה על </w:t>
      </w:r>
      <w:r>
        <w:rPr>
          <w:rFonts w:ascii="David" w:hAnsi="David" w:cs="David"/>
          <w:sz w:val="24"/>
          <w:szCs w:val="24"/>
          <w:rtl/>
        </w:rPr>
        <w:t>ס'</w:t>
      </w:r>
      <w:r w:rsidR="00516674">
        <w:rPr>
          <w:rFonts w:ascii="David" w:hAnsi="David" w:cs="David"/>
          <w:sz w:val="24"/>
          <w:szCs w:val="24"/>
          <w:rtl/>
        </w:rPr>
        <w:t xml:space="preserve"> לשלם רק 50,000 ₪ ותשלומים נוספים בסך של 20,000 ₪ כל אחד היה על </w:t>
      </w:r>
      <w:r>
        <w:rPr>
          <w:rFonts w:ascii="David" w:hAnsi="David" w:cs="David"/>
          <w:sz w:val="24"/>
          <w:szCs w:val="24"/>
          <w:rtl/>
        </w:rPr>
        <w:t>ס'</w:t>
      </w:r>
      <w:r w:rsidR="00516674">
        <w:rPr>
          <w:rFonts w:ascii="David" w:hAnsi="David" w:cs="David"/>
          <w:sz w:val="24"/>
          <w:szCs w:val="24"/>
          <w:rtl/>
        </w:rPr>
        <w:t xml:space="preserve"> לשלם בהתאם להתקדמות הבניה "לאחר כל תקרת בנייה החל מקומת קרקע ועד הגעה לקומה שמונה" </w:t>
      </w:r>
      <w:r w:rsidR="00516674">
        <w:rPr>
          <w:rFonts w:ascii="David" w:hAnsi="David" w:cs="David"/>
          <w:b/>
          <w:bCs/>
          <w:sz w:val="24"/>
          <w:szCs w:val="24"/>
          <w:rtl/>
        </w:rPr>
        <w:t>ראו: עמ' 28 לתיק המוצגים של התובעת</w:t>
      </w:r>
      <w:r w:rsidR="00516674">
        <w:rPr>
          <w:rFonts w:ascii="David" w:hAnsi="David" w:cs="David"/>
          <w:sz w:val="24"/>
          <w:szCs w:val="24"/>
          <w:rtl/>
        </w:rPr>
        <w:t xml:space="preserve">. במילים אחרות, בשנת 2014 </w:t>
      </w:r>
      <w:r>
        <w:rPr>
          <w:rFonts w:ascii="David" w:hAnsi="David" w:cs="David"/>
          <w:sz w:val="24"/>
          <w:szCs w:val="24"/>
          <w:rtl/>
        </w:rPr>
        <w:t>ס'</w:t>
      </w:r>
      <w:r w:rsidR="00516674">
        <w:rPr>
          <w:rFonts w:ascii="David" w:hAnsi="David" w:cs="David"/>
          <w:sz w:val="24"/>
          <w:szCs w:val="24"/>
          <w:rtl/>
        </w:rPr>
        <w:t xml:space="preserve"> לא היה זקוק להלוואה מאת התובעת.</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rtl/>
        </w:rPr>
        <w:t xml:space="preserve">יש לציין כי שתי הגרסאות – הן של התובעת והן של </w:t>
      </w:r>
      <w:r w:rsidR="003254EE">
        <w:rPr>
          <w:rFonts w:ascii="David" w:hAnsi="David" w:cs="David"/>
          <w:sz w:val="24"/>
          <w:szCs w:val="24"/>
          <w:rtl/>
        </w:rPr>
        <w:t>ס'</w:t>
      </w:r>
      <w:r>
        <w:rPr>
          <w:rFonts w:ascii="David" w:hAnsi="David" w:cs="David"/>
          <w:sz w:val="24"/>
          <w:szCs w:val="24"/>
          <w:rtl/>
        </w:rPr>
        <w:t xml:space="preserve"> לא נתמכו באסמכתאות </w:t>
      </w:r>
      <w:r>
        <w:rPr>
          <w:rFonts w:ascii="David" w:hAnsi="David" w:cs="David"/>
          <w:b/>
          <w:bCs/>
          <w:sz w:val="24"/>
          <w:szCs w:val="24"/>
          <w:rtl/>
        </w:rPr>
        <w:t>ראו: פרוט עמ' 12 ש' 8-9, עמ' 24 ש' 24</w:t>
      </w:r>
      <w:r>
        <w:rPr>
          <w:rFonts w:ascii="David" w:hAnsi="David" w:cs="David"/>
          <w:sz w:val="24"/>
          <w:szCs w:val="24"/>
          <w:rtl/>
        </w:rPr>
        <w:t xml:space="preserve">, </w:t>
      </w:r>
      <w:r>
        <w:rPr>
          <w:rFonts w:ascii="David" w:hAnsi="David" w:cs="David"/>
          <w:sz w:val="24"/>
          <w:szCs w:val="24"/>
          <w:u w:val="single"/>
          <w:rtl/>
        </w:rPr>
        <w:t>כך למשל</w:t>
      </w:r>
      <w:r>
        <w:rPr>
          <w:rFonts w:ascii="David" w:hAnsi="David" w:cs="David"/>
          <w:sz w:val="24"/>
          <w:szCs w:val="24"/>
          <w:rtl/>
        </w:rPr>
        <w:t>:</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rtl/>
        </w:rPr>
        <w:t>אבי הנתבעת (להלן: "</w:t>
      </w:r>
      <w:r>
        <w:rPr>
          <w:rFonts w:ascii="David" w:hAnsi="David" w:cs="David"/>
          <w:b/>
          <w:bCs/>
          <w:sz w:val="24"/>
          <w:szCs w:val="24"/>
          <w:rtl/>
        </w:rPr>
        <w:t>האב</w:t>
      </w:r>
      <w:r>
        <w:rPr>
          <w:rFonts w:ascii="David" w:hAnsi="David" w:cs="David"/>
          <w:sz w:val="24"/>
          <w:szCs w:val="24"/>
          <w:rtl/>
        </w:rPr>
        <w:t>") העיד כי הוא נתן לנתבעת ול</w:t>
      </w:r>
      <w:r w:rsidR="003254EE">
        <w:rPr>
          <w:rFonts w:ascii="David" w:hAnsi="David" w:cs="David"/>
          <w:sz w:val="24"/>
          <w:szCs w:val="24"/>
          <w:rtl/>
        </w:rPr>
        <w:t>ס'</w:t>
      </w:r>
      <w:r>
        <w:rPr>
          <w:rFonts w:ascii="David" w:hAnsi="David" w:cs="David"/>
          <w:sz w:val="24"/>
          <w:szCs w:val="24"/>
          <w:rtl/>
        </w:rPr>
        <w:t xml:space="preserve"> כספים בסך של 90,000 דולר שהיו כספי הנתבעת </w:t>
      </w:r>
      <w:r>
        <w:rPr>
          <w:rFonts w:ascii="David" w:hAnsi="David" w:cs="David"/>
          <w:b/>
          <w:bCs/>
          <w:sz w:val="24"/>
          <w:szCs w:val="24"/>
          <w:rtl/>
        </w:rPr>
        <w:t>ראו: פרוט' 6 עמ' 10-15</w:t>
      </w:r>
      <w:r>
        <w:rPr>
          <w:rFonts w:ascii="David" w:hAnsi="David" w:cs="David"/>
          <w:sz w:val="24"/>
          <w:szCs w:val="24"/>
          <w:rtl/>
        </w:rPr>
        <w:t xml:space="preserve"> לצורך רכישת הדירה. גם אם ניתן היה לקבל את גרסת האב, חרף הקשיים שבה (</w:t>
      </w:r>
      <w:r>
        <w:rPr>
          <w:rFonts w:ascii="David" w:hAnsi="David" w:cs="David"/>
          <w:b/>
          <w:bCs/>
          <w:sz w:val="24"/>
          <w:szCs w:val="24"/>
          <w:rtl/>
        </w:rPr>
        <w:t>ראו, למשל</w:t>
      </w:r>
      <w:r>
        <w:rPr>
          <w:rFonts w:ascii="David" w:hAnsi="David" w:cs="David"/>
          <w:sz w:val="24"/>
          <w:szCs w:val="24"/>
          <w:rtl/>
        </w:rPr>
        <w:t xml:space="preserve">: הטענה כי סך של 90,000 דולר הוכנס לכיס </w:t>
      </w:r>
      <w:r>
        <w:rPr>
          <w:rFonts w:ascii="David" w:hAnsi="David" w:cs="David"/>
          <w:b/>
          <w:bCs/>
          <w:sz w:val="24"/>
          <w:szCs w:val="24"/>
          <w:rtl/>
        </w:rPr>
        <w:t>ראו: פרוט' עמ' 7 ש' 9</w:t>
      </w:r>
      <w:r>
        <w:rPr>
          <w:rFonts w:ascii="David" w:hAnsi="David" w:cs="David"/>
          <w:sz w:val="24"/>
          <w:szCs w:val="24"/>
          <w:rtl/>
        </w:rPr>
        <w:t xml:space="preserve"> או כי הנתבעת הייתה מושכת כסף מהבנק כדי שהאב ישמור אותו בארגז </w:t>
      </w:r>
      <w:r>
        <w:rPr>
          <w:rFonts w:ascii="David" w:hAnsi="David" w:cs="David"/>
          <w:b/>
          <w:bCs/>
          <w:sz w:val="24"/>
          <w:szCs w:val="24"/>
          <w:rtl/>
        </w:rPr>
        <w:t>ראו: פרוט' עמ' 7 ש' 27-30</w:t>
      </w:r>
      <w:r>
        <w:rPr>
          <w:rFonts w:ascii="David" w:hAnsi="David" w:cs="David"/>
          <w:sz w:val="24"/>
          <w:szCs w:val="24"/>
          <w:rtl/>
        </w:rPr>
        <w:t xml:space="preserve">), הרי שעדותו של האב הסתכמה במתן הכספים בלבד והיא לא תמכה בטענת הנתבע כי הכספים שימשו לצורך רכישת הדירה </w:t>
      </w:r>
      <w:r>
        <w:rPr>
          <w:rFonts w:ascii="David" w:hAnsi="David" w:cs="David"/>
          <w:b/>
          <w:bCs/>
          <w:sz w:val="24"/>
          <w:szCs w:val="24"/>
          <w:rtl/>
        </w:rPr>
        <w:t>ראו: פרוט' עמ' 6 ש' 22-25</w:t>
      </w:r>
      <w:r>
        <w:rPr>
          <w:rFonts w:ascii="David" w:hAnsi="David" w:cs="David"/>
          <w:sz w:val="24"/>
          <w:szCs w:val="24"/>
          <w:rtl/>
        </w:rPr>
        <w:t>.</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על-פי הפסיקה, בעל דין שטענותיו העובדתיות ביחס לעילת התביעה או לעילת ההגנה הנישאת בפיו נמצאו בלתי מוכחות במאזן ההסתברויות – טענותיו תדחנה </w:t>
      </w:r>
      <w:r>
        <w:rPr>
          <w:rFonts w:ascii="David" w:hAnsi="David" w:cs="David"/>
          <w:b/>
          <w:bCs/>
          <w:sz w:val="24"/>
          <w:szCs w:val="24"/>
          <w:rtl/>
        </w:rPr>
        <w:t>ראו</w:t>
      </w:r>
      <w:r>
        <w:rPr>
          <w:rFonts w:ascii="David" w:hAnsi="David" w:cs="David"/>
          <w:sz w:val="24"/>
          <w:szCs w:val="24"/>
          <w:rtl/>
        </w:rPr>
        <w:t xml:space="preserve">: ע"א 6460/21 </w:t>
      </w:r>
      <w:r>
        <w:rPr>
          <w:rFonts w:ascii="David" w:hAnsi="David" w:cs="David"/>
          <w:b/>
          <w:bCs/>
          <w:sz w:val="24"/>
          <w:szCs w:val="24"/>
          <w:rtl/>
        </w:rPr>
        <w:t>פרץ נ' כהן</w:t>
      </w:r>
      <w:r>
        <w:rPr>
          <w:rFonts w:ascii="David" w:hAnsi="David" w:cs="David"/>
          <w:sz w:val="24"/>
          <w:szCs w:val="24"/>
          <w:rtl/>
        </w:rPr>
        <w:t xml:space="preserve"> (18.6.2023); ת"א (מחוזי מרכז) 35954-11-20 </w:t>
      </w:r>
      <w:r>
        <w:rPr>
          <w:rFonts w:ascii="David" w:hAnsi="David" w:cs="David"/>
          <w:b/>
          <w:bCs/>
          <w:sz w:val="24"/>
          <w:szCs w:val="24"/>
          <w:rtl/>
        </w:rPr>
        <w:t xml:space="preserve">דוד נ' ליברמן (המנוח) </w:t>
      </w:r>
      <w:r>
        <w:rPr>
          <w:rFonts w:ascii="David" w:hAnsi="David" w:cs="David"/>
          <w:sz w:val="24"/>
          <w:szCs w:val="24"/>
          <w:rtl/>
        </w:rPr>
        <w:t>(8.8.2023).</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במצב דברים זה ומשעה שנטל הוכחת הבעלות בדירה רובץ לפתחה של התובעת </w:t>
      </w:r>
      <w:r>
        <w:rPr>
          <w:rFonts w:ascii="David" w:hAnsi="David" w:cs="David"/>
          <w:b/>
          <w:bCs/>
          <w:sz w:val="24"/>
          <w:szCs w:val="24"/>
          <w:rtl/>
        </w:rPr>
        <w:t>ראו</w:t>
      </w:r>
      <w:r>
        <w:rPr>
          <w:rFonts w:ascii="David" w:hAnsi="David" w:cs="David"/>
          <w:sz w:val="24"/>
          <w:szCs w:val="24"/>
          <w:rtl/>
        </w:rPr>
        <w:t xml:space="preserve">: ע"א 5163/23 </w:t>
      </w:r>
      <w:r>
        <w:rPr>
          <w:rFonts w:ascii="David" w:hAnsi="David" w:cs="David"/>
          <w:b/>
          <w:bCs/>
          <w:sz w:val="24"/>
          <w:szCs w:val="24"/>
          <w:rtl/>
        </w:rPr>
        <w:t>חרוב נ' רשות מקרקעי ישראל</w:t>
      </w:r>
      <w:r>
        <w:rPr>
          <w:rFonts w:ascii="David" w:hAnsi="David" w:cs="David"/>
          <w:sz w:val="24"/>
          <w:szCs w:val="24"/>
          <w:rtl/>
        </w:rPr>
        <w:t xml:space="preserve"> (26.11.2023) ניתן היה לבוא ולומר כי התובעת לא הוכיחה את טענתה.</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יחד עם זאת, ראיה אחת בלבד הטתה את כף המאזניים לטובת התובעת. ראייה זו הינה ייפוי כוח (להלן: "</w:t>
      </w:r>
      <w:r>
        <w:rPr>
          <w:rFonts w:ascii="David" w:hAnsi="David" w:cs="David"/>
          <w:b/>
          <w:bCs/>
          <w:sz w:val="24"/>
          <w:szCs w:val="24"/>
          <w:rtl/>
        </w:rPr>
        <w:t>ייפוי הכוח</w:t>
      </w:r>
      <w:r>
        <w:rPr>
          <w:rFonts w:ascii="David" w:hAnsi="David" w:cs="David"/>
          <w:sz w:val="24"/>
          <w:szCs w:val="24"/>
          <w:rtl/>
        </w:rPr>
        <w:t xml:space="preserve">") שנתן </w:t>
      </w:r>
      <w:r w:rsidR="003254EE">
        <w:rPr>
          <w:rFonts w:ascii="David" w:hAnsi="David" w:cs="David"/>
          <w:sz w:val="24"/>
          <w:szCs w:val="24"/>
          <w:rtl/>
        </w:rPr>
        <w:t>ס'</w:t>
      </w:r>
      <w:r>
        <w:rPr>
          <w:rFonts w:ascii="David" w:hAnsi="David" w:cs="David"/>
          <w:sz w:val="24"/>
          <w:szCs w:val="24"/>
          <w:rtl/>
        </w:rPr>
        <w:t xml:space="preserve"> לתובעת ביום 30.6.18 </w:t>
      </w:r>
      <w:r>
        <w:rPr>
          <w:rFonts w:ascii="David" w:hAnsi="David" w:cs="David"/>
          <w:b/>
          <w:bCs/>
          <w:sz w:val="24"/>
          <w:szCs w:val="24"/>
          <w:rtl/>
        </w:rPr>
        <w:t>ראו: עמ' 12 לתיק המוצגים של התובעת</w:t>
      </w:r>
      <w:r>
        <w:rPr>
          <w:rFonts w:ascii="David" w:hAnsi="David" w:cs="David"/>
          <w:sz w:val="24"/>
          <w:szCs w:val="24"/>
          <w:rtl/>
        </w:rPr>
        <w:t xml:space="preserve">. ער אני לכך שעל-פי ההסכם, ייפוי הכוח היה צריך להיחתם "בעת פירעון מחיר הדירה", דהיינו בחודש אפריל 2019 </w:t>
      </w:r>
      <w:r>
        <w:rPr>
          <w:rFonts w:ascii="David" w:hAnsi="David" w:cs="David"/>
          <w:b/>
          <w:bCs/>
          <w:sz w:val="24"/>
          <w:szCs w:val="24"/>
          <w:rtl/>
        </w:rPr>
        <w:t>ראו: עמ' 10 לתיק המוצגים של התובעת</w:t>
      </w:r>
      <w:r>
        <w:rPr>
          <w:rFonts w:ascii="David" w:hAnsi="David" w:cs="David"/>
          <w:sz w:val="24"/>
          <w:szCs w:val="24"/>
          <w:rtl/>
        </w:rPr>
        <w:t xml:space="preserve"> ולקושי בגרסת התובעת בעניין זה </w:t>
      </w:r>
      <w:r>
        <w:rPr>
          <w:rFonts w:ascii="David" w:hAnsi="David" w:cs="David"/>
          <w:b/>
          <w:bCs/>
          <w:sz w:val="24"/>
          <w:szCs w:val="24"/>
          <w:rtl/>
        </w:rPr>
        <w:t>ראו: פרוט' עמ' 13 ש' 28-31</w:t>
      </w:r>
      <w:r>
        <w:rPr>
          <w:rFonts w:ascii="David" w:hAnsi="David" w:cs="David"/>
          <w:sz w:val="24"/>
          <w:szCs w:val="24"/>
          <w:rtl/>
        </w:rPr>
        <w:t xml:space="preserve">. </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ואולם, בתקופה זו הקשר בין התובעת לנתבעת היה קשר טוב </w:t>
      </w:r>
      <w:r>
        <w:rPr>
          <w:rFonts w:ascii="David" w:hAnsi="David" w:cs="David"/>
          <w:b/>
          <w:bCs/>
          <w:sz w:val="24"/>
          <w:szCs w:val="24"/>
          <w:rtl/>
        </w:rPr>
        <w:t>ראו: פרוט' עמ' 12 ש' 28-29</w:t>
      </w:r>
      <w:r>
        <w:rPr>
          <w:rFonts w:ascii="David" w:hAnsi="David" w:cs="David"/>
          <w:sz w:val="24"/>
          <w:szCs w:val="24"/>
          <w:rtl/>
        </w:rPr>
        <w:t xml:space="preserve">. ההליכים המשפטיים בין </w:t>
      </w:r>
      <w:r w:rsidR="003254EE">
        <w:rPr>
          <w:rFonts w:ascii="David" w:hAnsi="David" w:cs="David"/>
          <w:sz w:val="24"/>
          <w:szCs w:val="24"/>
          <w:rtl/>
        </w:rPr>
        <w:t>ס'</w:t>
      </w:r>
      <w:r>
        <w:rPr>
          <w:rFonts w:ascii="David" w:hAnsi="David" w:cs="David"/>
          <w:sz w:val="24"/>
          <w:szCs w:val="24"/>
          <w:rtl/>
        </w:rPr>
        <w:t xml:space="preserve"> לנתבעת נפתחו בחודש יוני 2019, דהיינו כשנה לאחר החתימה על ייפוי הכוח משכך ספק רב אם ייפוי הכוח נועד להבריח את הדירה מהתובעת.</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על רקע מסקנה זו, על רקע העובדה כי לא נטענה על-ידי הנתבעת כל טענה ביחס לייפוי הכוח ועורך ייפוי הכוח לא זומן על ידה לעדות, בהתאם לתקנה 28 (ב) לתקנות המשפחה שלפיה על בית המשפט לקבוע "את ממצאיו לפי הראיות המסתברות יותר" </w:t>
      </w:r>
      <w:r>
        <w:rPr>
          <w:rFonts w:ascii="David" w:hAnsi="David" w:cs="David"/>
          <w:b/>
          <w:bCs/>
          <w:sz w:val="24"/>
          <w:szCs w:val="24"/>
          <w:rtl/>
        </w:rPr>
        <w:t>ראו</w:t>
      </w:r>
      <w:r>
        <w:rPr>
          <w:rFonts w:ascii="David" w:hAnsi="David" w:cs="David"/>
          <w:sz w:val="24"/>
          <w:szCs w:val="24"/>
          <w:rtl/>
        </w:rPr>
        <w:t xml:space="preserve">: תה"ס 27071-11-19 </w:t>
      </w:r>
      <w:r>
        <w:rPr>
          <w:rFonts w:ascii="David" w:hAnsi="David" w:cs="David"/>
          <w:b/>
          <w:bCs/>
          <w:sz w:val="24"/>
          <w:szCs w:val="24"/>
          <w:rtl/>
        </w:rPr>
        <w:t>פלונית נ' אלמוני</w:t>
      </w:r>
      <w:r>
        <w:rPr>
          <w:rFonts w:ascii="David" w:hAnsi="David" w:cs="David"/>
          <w:sz w:val="24"/>
          <w:szCs w:val="24"/>
          <w:rtl/>
        </w:rPr>
        <w:t xml:space="preserve"> (27.11.2022) אני קובע כי התובעת</w:t>
      </w:r>
      <w:r w:rsidR="0022614B">
        <w:rPr>
          <w:rFonts w:ascii="David" w:hAnsi="David" w:cs="David"/>
          <w:sz w:val="24"/>
          <w:szCs w:val="24"/>
          <w:rtl/>
        </w:rPr>
        <w:t xml:space="preserve"> הוכיחה, על-פי מאזן ההסתברויות</w:t>
      </w:r>
      <w:r w:rsidR="0022614B">
        <w:rPr>
          <w:rFonts w:ascii="David" w:hAnsi="David" w:cs="David" w:hint="cs"/>
          <w:sz w:val="24"/>
          <w:szCs w:val="24"/>
          <w:rtl/>
        </w:rPr>
        <w:t xml:space="preserve">, </w:t>
      </w:r>
      <w:r>
        <w:rPr>
          <w:rFonts w:ascii="David" w:hAnsi="David" w:cs="David"/>
          <w:sz w:val="24"/>
          <w:szCs w:val="24"/>
          <w:rtl/>
        </w:rPr>
        <w:t>לצורך הכרעה בהליך זה בלבד וכקביעה אגבית, כי היא בעלת הזכויות בדירה.</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עת נקבע כי לצורך תביעה זו התובעת הינה בעלת הזכויות בדירה, יש לבחון האם התובעת זכאית לקבל שכר ראוי מהנתבעת.</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במקרה שלפניי, לא מדובר בשימוש בנכס על-ידי בעל זכויות בו. בתוך כך, אין עיגון משפטי לחיוב בדמי שימוש מכוח חוק המקרקעין, התשכ"ט–1963, או מכוח חוק המיטלטלין, התשל"א</w:t>
      </w:r>
      <w:r>
        <w:rPr>
          <w:rFonts w:ascii="David" w:hAnsi="David" w:cs="David"/>
          <w:b/>
          <w:bCs/>
          <w:sz w:val="24"/>
          <w:szCs w:val="24"/>
          <w:rtl/>
        </w:rPr>
        <w:t>–</w:t>
      </w:r>
      <w:r>
        <w:rPr>
          <w:rFonts w:ascii="David" w:hAnsi="David" w:cs="David"/>
          <w:sz w:val="24"/>
          <w:szCs w:val="24"/>
          <w:rtl/>
        </w:rPr>
        <w:t>1971</w:t>
      </w:r>
      <w:r>
        <w:rPr>
          <w:rFonts w:ascii="David" w:hAnsi="David" w:cs="David"/>
          <w:b/>
          <w:bCs/>
          <w:sz w:val="24"/>
          <w:szCs w:val="24"/>
          <w:rtl/>
        </w:rPr>
        <w:t xml:space="preserve"> ראו</w:t>
      </w:r>
      <w:r>
        <w:rPr>
          <w:rFonts w:ascii="David" w:hAnsi="David" w:cs="David"/>
          <w:sz w:val="24"/>
          <w:szCs w:val="24"/>
          <w:rtl/>
        </w:rPr>
        <w:t xml:space="preserve">: תמ"ש 52970-01-20 </w:t>
      </w:r>
      <w:r>
        <w:rPr>
          <w:rFonts w:ascii="David" w:hAnsi="David" w:cs="David"/>
          <w:b/>
          <w:bCs/>
          <w:sz w:val="24"/>
          <w:szCs w:val="24"/>
          <w:rtl/>
        </w:rPr>
        <w:t xml:space="preserve">פלוני נ' אלמונית </w:t>
      </w:r>
      <w:r>
        <w:rPr>
          <w:rFonts w:ascii="David" w:hAnsi="David" w:cs="David"/>
          <w:sz w:val="24"/>
          <w:szCs w:val="24"/>
          <w:rtl/>
        </w:rPr>
        <w:t xml:space="preserve">(11.5.2022). </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על-פי ההלכה, כאשר מבוצעת הסגת גבול – וזוהי למעשה טענת התובעת – עומדת לה, בין היתר, עילה מכוח עשיית עושר ולא במשפט </w:t>
      </w:r>
      <w:r>
        <w:rPr>
          <w:rFonts w:ascii="David" w:hAnsi="David" w:cs="David"/>
          <w:b/>
          <w:bCs/>
          <w:sz w:val="24"/>
          <w:szCs w:val="24"/>
          <w:rtl/>
        </w:rPr>
        <w:t>ראו</w:t>
      </w:r>
      <w:r>
        <w:rPr>
          <w:rFonts w:ascii="David" w:hAnsi="David" w:cs="David"/>
          <w:sz w:val="24"/>
          <w:szCs w:val="24"/>
          <w:rtl/>
        </w:rPr>
        <w:t xml:space="preserve">: ע"א 588/87 </w:t>
      </w:r>
      <w:r>
        <w:rPr>
          <w:rFonts w:ascii="David" w:hAnsi="David" w:cs="David"/>
          <w:b/>
          <w:bCs/>
          <w:sz w:val="24"/>
          <w:szCs w:val="24"/>
          <w:rtl/>
        </w:rPr>
        <w:t>כהן נ' שמש</w:t>
      </w:r>
      <w:r>
        <w:rPr>
          <w:rFonts w:ascii="David" w:hAnsi="David" w:cs="David"/>
          <w:sz w:val="24"/>
          <w:szCs w:val="24"/>
          <w:rtl/>
        </w:rPr>
        <w:t xml:space="preserve">, פ"ד מה(5) 297, 318; ע"א 6744/20 </w:t>
      </w:r>
      <w:r>
        <w:rPr>
          <w:rFonts w:ascii="David" w:hAnsi="David" w:cs="David"/>
          <w:b/>
          <w:bCs/>
          <w:sz w:val="24"/>
          <w:szCs w:val="24"/>
          <w:rtl/>
        </w:rPr>
        <w:t>רשות מקרקעי ישראל נ' טבר</w:t>
      </w:r>
      <w:r>
        <w:rPr>
          <w:rFonts w:ascii="David" w:hAnsi="David" w:cs="David"/>
          <w:sz w:val="24"/>
          <w:szCs w:val="24"/>
          <w:rtl/>
        </w:rPr>
        <w:t xml:space="preserve"> (7.7.2022); תלה"מ 22475-03-18 </w:t>
      </w:r>
      <w:r>
        <w:rPr>
          <w:rFonts w:ascii="David" w:hAnsi="David" w:cs="David"/>
          <w:b/>
          <w:bCs/>
          <w:sz w:val="24"/>
          <w:szCs w:val="24"/>
          <w:rtl/>
        </w:rPr>
        <w:t>א' נ' א'</w:t>
      </w:r>
      <w:r>
        <w:rPr>
          <w:rFonts w:ascii="David" w:hAnsi="David" w:cs="David"/>
          <w:sz w:val="24"/>
          <w:szCs w:val="24"/>
          <w:rtl/>
        </w:rPr>
        <w:t xml:space="preserve"> (27.3.2023); תמ"ש 4717-11-15</w:t>
      </w:r>
      <w:r>
        <w:rPr>
          <w:rFonts w:ascii="David" w:hAnsi="David" w:cs="David"/>
          <w:b/>
          <w:bCs/>
          <w:sz w:val="24"/>
          <w:szCs w:val="24"/>
          <w:rtl/>
        </w:rPr>
        <w:t xml:space="preserve"> פלוניות נ' פלונית</w:t>
      </w:r>
      <w:r>
        <w:rPr>
          <w:rFonts w:ascii="David" w:hAnsi="David" w:cs="David"/>
          <w:sz w:val="24"/>
          <w:szCs w:val="24"/>
          <w:rtl/>
        </w:rPr>
        <w:t xml:space="preserve"> (26.1.2021).</w:t>
      </w:r>
    </w:p>
    <w:p w:rsidR="00516674" w:rsidRPr="00A978EA" w:rsidRDefault="00516674" w:rsidP="00516674">
      <w:pPr>
        <w:pStyle w:val="a9"/>
        <w:rPr>
          <w:rFonts w:ascii="David" w:hAnsi="David" w:cs="David"/>
          <w:sz w:val="24"/>
          <w:szCs w:val="24"/>
          <w:rtl/>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ס' 1 (א) לחוק עשיית עושר ולא במשפט, התשל"ט–1979 (להלן: "</w:t>
      </w:r>
      <w:r>
        <w:rPr>
          <w:rFonts w:ascii="David" w:hAnsi="David" w:cs="David"/>
          <w:b/>
          <w:bCs/>
          <w:sz w:val="24"/>
          <w:szCs w:val="24"/>
          <w:rtl/>
        </w:rPr>
        <w:t>חוק עשיית עושר</w:t>
      </w:r>
      <w:r>
        <w:rPr>
          <w:rFonts w:ascii="David" w:hAnsi="David" w:cs="David"/>
          <w:sz w:val="24"/>
          <w:szCs w:val="24"/>
          <w:rtl/>
        </w:rPr>
        <w:t xml:space="preserve">") קובע: </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tabs>
          <w:tab w:val="left" w:pos="7653"/>
        </w:tabs>
        <w:spacing w:after="0" w:line="360" w:lineRule="auto"/>
        <w:ind w:left="849" w:right="851"/>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מי שקיבל שלא על פי זכות שבדין נכס, שירות או טובת הנאה אחרת (להלן – הזוכה) שבאו לו מאדם אחר (להלן - המזכה), חייב להשיב למזכה את הזכיה, ואם השבה בעין בלתי אפשרית או בלתי סבירה - לשלם לו את שוויה</w:t>
      </w:r>
      <w:r>
        <w:rPr>
          <w:rFonts w:ascii="David" w:hAnsi="David" w:cs="David"/>
          <w:sz w:val="24"/>
          <w:szCs w:val="24"/>
          <w:rtl/>
        </w:rPr>
        <w:t>"</w:t>
      </w:r>
    </w:p>
    <w:p w:rsidR="00516674" w:rsidRDefault="00516674" w:rsidP="00516674">
      <w:pPr>
        <w:spacing w:line="360" w:lineRule="auto"/>
        <w:jc w:val="both"/>
        <w:rPr>
          <w:rFonts w:ascii="David" w:hAnsi="David"/>
          <w:rtl/>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ס' 2 לחוק עשיית עושר קובע:</w:t>
      </w:r>
    </w:p>
    <w:p w:rsidR="00516674" w:rsidRDefault="00516674" w:rsidP="00516674">
      <w:pPr>
        <w:spacing w:line="360" w:lineRule="auto"/>
        <w:jc w:val="both"/>
        <w:rPr>
          <w:rFonts w:ascii="David" w:hAnsi="David"/>
          <w:color w:val="000000"/>
          <w:shd w:val="clear" w:color="auto" w:fill="FFFFFF"/>
        </w:rPr>
      </w:pPr>
    </w:p>
    <w:p w:rsidR="00516674" w:rsidRDefault="00516674" w:rsidP="00516674">
      <w:pPr>
        <w:pStyle w:val="a9"/>
        <w:spacing w:after="0" w:line="360" w:lineRule="auto"/>
        <w:ind w:left="849" w:right="851"/>
        <w:jc w:val="both"/>
        <w:rPr>
          <w:rFonts w:ascii="David" w:hAnsi="David" w:cs="David"/>
          <w:b/>
          <w:bCs/>
          <w:sz w:val="24"/>
          <w:szCs w:val="24"/>
          <w:rtl/>
        </w:rPr>
      </w:pPr>
      <w:r>
        <w:rPr>
          <w:rFonts w:ascii="David" w:hAnsi="David" w:cs="David"/>
          <w:b/>
          <w:bCs/>
          <w:sz w:val="24"/>
          <w:szCs w:val="24"/>
          <w:rtl/>
        </w:rPr>
        <w:t>"בית המשפט רשאי לפטור את הזוכה מחובת ההשבה לפי סעיף 1, כולה או מקצתה, אם ראה שהזכיה לא היתה כרוכה בחסרון המזכה או שראה נסיבות אחרות העושות את ההשבה בלתי צודקת"</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בעמ"ש 7396-12-09 </w:t>
      </w:r>
      <w:r>
        <w:rPr>
          <w:rFonts w:ascii="David" w:hAnsi="David" w:cs="David"/>
          <w:b/>
          <w:bCs/>
          <w:sz w:val="24"/>
          <w:szCs w:val="24"/>
          <w:rtl/>
        </w:rPr>
        <w:t>פלונית נ' אלמוני</w:t>
      </w:r>
      <w:r>
        <w:rPr>
          <w:rFonts w:ascii="David" w:hAnsi="David" w:cs="David"/>
          <w:sz w:val="24"/>
          <w:szCs w:val="24"/>
          <w:rtl/>
        </w:rPr>
        <w:t xml:space="preserve"> (24.4.2013) נפסק כי:</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spacing w:line="360" w:lineRule="auto"/>
        <w:ind w:left="849" w:right="851"/>
        <w:jc w:val="both"/>
        <w:rPr>
          <w:rFonts w:ascii="David" w:hAnsi="David"/>
        </w:rPr>
      </w:pPr>
      <w:r>
        <w:rPr>
          <w:rFonts w:ascii="David" w:hAnsi="David"/>
          <w:rtl/>
        </w:rPr>
        <w:t>"</w:t>
      </w:r>
      <w:r>
        <w:rPr>
          <w:rFonts w:ascii="David" w:hAnsi="David"/>
          <w:i/>
          <w:iCs/>
          <w:rtl/>
        </w:rPr>
        <w:t>דומני, כי אין מקום לקבוע מסמרות וכי יש לבחון כל מקרה לנסיבותיו ... לא בכדי בסעיף 2 לחוק עשיית עושר ולא במשפט, תשל"ט-1979 נקבע כי בית המשפט רשאי לפטור מחובת השבה אם ראה בית המשפט "...נסיבות אחרות העושות את ההשבה בלתי צודקת". יתר על כן, נראה כי גם התנהלות שיש בה משום חוסר תום לב, תהיה לה השפעה על קביעת החבות או הפטור</w:t>
      </w:r>
      <w:r>
        <w:rPr>
          <w:rFonts w:ascii="David" w:hAnsi="David"/>
          <w:rtl/>
        </w:rPr>
        <w:t>".</w:t>
      </w:r>
    </w:p>
    <w:p w:rsidR="00516674" w:rsidRDefault="00516674" w:rsidP="00516674">
      <w:pPr>
        <w:spacing w:line="360" w:lineRule="auto"/>
        <w:ind w:left="566" w:right="567"/>
        <w:jc w:val="both"/>
        <w:rPr>
          <w:rFonts w:ascii="David" w:hAnsi="David"/>
          <w:rtl/>
        </w:rPr>
      </w:pPr>
    </w:p>
    <w:p w:rsidR="00516674" w:rsidRDefault="00516674" w:rsidP="00516674">
      <w:pPr>
        <w:pStyle w:val="a9"/>
        <w:numPr>
          <w:ilvl w:val="0"/>
          <w:numId w:val="1"/>
        </w:numPr>
        <w:spacing w:after="0" w:line="360" w:lineRule="auto"/>
        <w:jc w:val="both"/>
        <w:rPr>
          <w:rFonts w:ascii="David" w:hAnsi="David" w:cs="David"/>
          <w:i/>
          <w:iCs/>
          <w:sz w:val="24"/>
          <w:szCs w:val="24"/>
          <w:rtl/>
        </w:rPr>
      </w:pPr>
      <w:r>
        <w:rPr>
          <w:rFonts w:ascii="David" w:hAnsi="David" w:cs="David"/>
          <w:sz w:val="24"/>
          <w:szCs w:val="24"/>
          <w:rtl/>
        </w:rPr>
        <w:t xml:space="preserve">בת"א 13349-08-17 </w:t>
      </w:r>
      <w:r>
        <w:rPr>
          <w:rFonts w:ascii="David" w:hAnsi="David" w:cs="David"/>
          <w:b/>
          <w:bCs/>
          <w:sz w:val="24"/>
          <w:szCs w:val="24"/>
          <w:rtl/>
        </w:rPr>
        <w:t xml:space="preserve">ברוכאל סגנון רהיטים בע"מ נ' "מולטיפרס" ייצור ושרותים תעשיתיים בע"מ </w:t>
      </w:r>
      <w:r>
        <w:rPr>
          <w:rFonts w:ascii="David" w:hAnsi="David" w:cs="David"/>
          <w:sz w:val="24"/>
          <w:szCs w:val="24"/>
          <w:rtl/>
        </w:rPr>
        <w:t xml:space="preserve">(3.2.2020) נקבעו אמות מידה והשיקולים למתן פטור בהתאם לס' 2 לחוק עשיית עושר וביניהם: </w:t>
      </w:r>
      <w:r>
        <w:rPr>
          <w:rFonts w:ascii="David" w:hAnsi="David" w:cs="David"/>
          <w:i/>
          <w:iCs/>
          <w:sz w:val="24"/>
          <w:szCs w:val="24"/>
          <w:rtl/>
        </w:rPr>
        <w:t>"תום ליבם של שני הצדדים; שינוי נסיבות שחל במצבו של הזוכה שבגינו תהיה ההשבה בלתי צודקת; ו"מאזן הנזק", קרי: השאלה אם הנזק שבחיוב הזוכה בהשבת הזכייה עולה על הנזק שייגרם למזכה אם לא תושב לו זכייתו</w:t>
      </w:r>
      <w:r>
        <w:rPr>
          <w:rFonts w:ascii="David" w:hAnsi="David" w:cs="David"/>
          <w:sz w:val="24"/>
          <w:szCs w:val="24"/>
          <w:rtl/>
        </w:rPr>
        <w:t>" תוך שנקבע</w:t>
      </w:r>
      <w:r>
        <w:rPr>
          <w:rFonts w:ascii="David" w:hAnsi="David" w:cs="David"/>
          <w:i/>
          <w:iCs/>
          <w:sz w:val="24"/>
          <w:szCs w:val="24"/>
          <w:rtl/>
        </w:rPr>
        <w:t xml:space="preserve"> </w:t>
      </w:r>
      <w:r>
        <w:rPr>
          <w:rFonts w:ascii="David" w:hAnsi="David" w:cs="David"/>
          <w:sz w:val="24"/>
          <w:szCs w:val="24"/>
          <w:rtl/>
        </w:rPr>
        <w:t>כי</w:t>
      </w:r>
      <w:r>
        <w:rPr>
          <w:rFonts w:ascii="David" w:hAnsi="David" w:cs="David"/>
          <w:i/>
          <w:iCs/>
          <w:sz w:val="24"/>
          <w:szCs w:val="24"/>
          <w:rtl/>
        </w:rPr>
        <w:t xml:space="preserve"> "אמות מידה אלה הן כלליות ביותר ולבית המשפט שיקול דעת רחב ביותר בהפעלתם לשם הגשמת צדק יחסי בין הצדדים" </w:t>
      </w:r>
      <w:r>
        <w:rPr>
          <w:rFonts w:ascii="David" w:hAnsi="David" w:cs="David"/>
          <w:b/>
          <w:bCs/>
          <w:sz w:val="24"/>
          <w:szCs w:val="24"/>
          <w:rtl/>
        </w:rPr>
        <w:t>ראו גם</w:t>
      </w:r>
      <w:r>
        <w:rPr>
          <w:rFonts w:ascii="David" w:hAnsi="David" w:cs="David"/>
          <w:sz w:val="24"/>
          <w:szCs w:val="24"/>
          <w:rtl/>
        </w:rPr>
        <w:t>: תמ"ש 1091-08-15</w:t>
      </w:r>
      <w:r>
        <w:rPr>
          <w:rFonts w:ascii="David" w:hAnsi="David" w:cs="David"/>
          <w:b/>
          <w:bCs/>
          <w:sz w:val="24"/>
          <w:szCs w:val="24"/>
          <w:rtl/>
        </w:rPr>
        <w:t xml:space="preserve"> ח נ' ח </w:t>
      </w:r>
      <w:r>
        <w:rPr>
          <w:rFonts w:ascii="David" w:hAnsi="David" w:cs="David"/>
          <w:sz w:val="24"/>
          <w:szCs w:val="24"/>
          <w:rtl/>
        </w:rPr>
        <w:t>(27.3.2022).</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במקרה שלפניי לא הוכחה טענת התובעת כי "הנתבעת פלשה לדירה"... "ללא הסכמתה" ו"ללא אישורה" </w:t>
      </w:r>
      <w:r>
        <w:rPr>
          <w:rFonts w:ascii="David" w:hAnsi="David" w:cs="David"/>
          <w:b/>
          <w:bCs/>
          <w:sz w:val="24"/>
          <w:szCs w:val="24"/>
          <w:rtl/>
        </w:rPr>
        <w:t>ראו: ס' 6 לכתב התביעה</w:t>
      </w:r>
      <w:r>
        <w:rPr>
          <w:rFonts w:ascii="David" w:hAnsi="David" w:cs="David"/>
          <w:sz w:val="24"/>
          <w:szCs w:val="24"/>
          <w:rtl/>
        </w:rPr>
        <w:t>.</w:t>
      </w:r>
    </w:p>
    <w:p w:rsidR="00516674" w:rsidRDefault="00516674" w:rsidP="00516674">
      <w:pPr>
        <w:pStyle w:val="a9"/>
        <w:spacing w:line="360" w:lineRule="auto"/>
        <w:rPr>
          <w:rFonts w:ascii="David" w:hAnsi="David" w:cs="David"/>
          <w:sz w:val="24"/>
          <w:szCs w:val="24"/>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xml:space="preserve">, התובעת לא פירטה בכתב התביעה כלל באיזה אופן הנתבעת פלשה לדירה ולכך לא ניתן הסבר ממשי </w:t>
      </w:r>
      <w:r>
        <w:rPr>
          <w:rFonts w:ascii="David" w:hAnsi="David" w:cs="David"/>
          <w:b/>
          <w:bCs/>
          <w:sz w:val="24"/>
          <w:szCs w:val="24"/>
          <w:rtl/>
        </w:rPr>
        <w:t>ראו: פרוט' עמ' 19 ש' 7-8</w:t>
      </w:r>
      <w:r>
        <w:rPr>
          <w:rFonts w:ascii="David" w:hAnsi="David" w:cs="David"/>
          <w:sz w:val="24"/>
          <w:szCs w:val="24"/>
          <w:rtl/>
        </w:rPr>
        <w:t xml:space="preserve">. גרסתה הראשונה בעניין זה נשמעה בדיון, עת השיבה התובעת לשאלות בית המשפט ולפי גרסה זו, הנתבעת נכנסה לדירה "בכוח" תוך החלפת הצילינדר </w:t>
      </w:r>
      <w:r>
        <w:rPr>
          <w:rFonts w:ascii="David" w:hAnsi="David" w:cs="David"/>
          <w:b/>
          <w:bCs/>
          <w:sz w:val="24"/>
          <w:szCs w:val="24"/>
          <w:rtl/>
        </w:rPr>
        <w:t>ראו: פרוט' עמ' 18 ש' 7-10</w:t>
      </w:r>
      <w:r>
        <w:rPr>
          <w:rFonts w:ascii="David" w:hAnsi="David" w:cs="David"/>
          <w:sz w:val="24"/>
          <w:szCs w:val="24"/>
          <w:rtl/>
        </w:rPr>
        <w:t xml:space="preserve">. לתובעת נודע על כך כאשר התקשרו אליה "מהבניין ואמרו שיש מישהו בבית" </w:t>
      </w:r>
      <w:r>
        <w:rPr>
          <w:rFonts w:ascii="David" w:hAnsi="David" w:cs="David"/>
          <w:b/>
          <w:bCs/>
          <w:sz w:val="24"/>
          <w:szCs w:val="24"/>
          <w:rtl/>
        </w:rPr>
        <w:t>ראו: פרוט' עמ' 18 ש' 13-16</w:t>
      </w:r>
      <w:r>
        <w:rPr>
          <w:rFonts w:ascii="David" w:hAnsi="David" w:cs="David"/>
          <w:sz w:val="24"/>
          <w:szCs w:val="24"/>
          <w:rtl/>
        </w:rPr>
        <w:t xml:space="preserve"> ובו ביום היא הגישה תלונה במשטרה ומאוחר יותר הגישה תלונה לפרקליטות הפלסטינאית ופנתה לבית המשפט הפלסטיני </w:t>
      </w:r>
      <w:r>
        <w:rPr>
          <w:rFonts w:ascii="David" w:hAnsi="David" w:cs="David"/>
          <w:b/>
          <w:bCs/>
          <w:sz w:val="24"/>
          <w:szCs w:val="24"/>
          <w:rtl/>
        </w:rPr>
        <w:t>ראו: פרוט' עמ' 18 ש' 18-28</w:t>
      </w:r>
      <w:r>
        <w:rPr>
          <w:rFonts w:ascii="David" w:hAnsi="David" w:cs="David"/>
          <w:sz w:val="24"/>
          <w:szCs w:val="24"/>
          <w:rtl/>
        </w:rPr>
        <w:t xml:space="preserve">. </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rtl/>
        </w:rPr>
        <w:lastRenderedPageBreak/>
        <w:t xml:space="preserve">לא זו בלבד שמדובר ב"גרסה כבושה" שהועלתה לראשונה בדיון וערכה ומשקלה מועטים ביותר משום שמי ש"כובש עדותו", חשוד, מטבע הדברים, על אמיתותה" </w:t>
      </w:r>
      <w:r>
        <w:rPr>
          <w:rFonts w:ascii="David" w:hAnsi="David" w:cs="David"/>
          <w:b/>
          <w:bCs/>
          <w:sz w:val="24"/>
          <w:szCs w:val="24"/>
          <w:rtl/>
        </w:rPr>
        <w:t>ראו</w:t>
      </w:r>
      <w:r>
        <w:rPr>
          <w:rFonts w:ascii="David" w:hAnsi="David" w:cs="David"/>
          <w:sz w:val="24"/>
          <w:szCs w:val="24"/>
          <w:rtl/>
        </w:rPr>
        <w:t xml:space="preserve">: י.קדמי "על הראיות", 2009 , חלק ראשון עמ' 500-501; ע"א 14047-10-14 </w:t>
      </w:r>
      <w:r>
        <w:rPr>
          <w:rFonts w:ascii="David" w:hAnsi="David" w:cs="David"/>
          <w:b/>
          <w:bCs/>
          <w:sz w:val="24"/>
          <w:szCs w:val="24"/>
          <w:rtl/>
        </w:rPr>
        <w:t>נפתלי נ' עיריית ת"א יפו</w:t>
      </w:r>
      <w:r>
        <w:rPr>
          <w:rFonts w:ascii="David" w:hAnsi="David" w:cs="David"/>
          <w:sz w:val="24"/>
          <w:szCs w:val="24"/>
          <w:rtl/>
        </w:rPr>
        <w:t xml:space="preserve"> (7.3.2016); תמ"ש 8265-07-16 </w:t>
      </w:r>
      <w:r>
        <w:rPr>
          <w:rFonts w:ascii="David" w:hAnsi="David" w:cs="David"/>
          <w:b/>
          <w:bCs/>
          <w:sz w:val="24"/>
          <w:szCs w:val="24"/>
          <w:rtl/>
        </w:rPr>
        <w:t>ר' נ' א'</w:t>
      </w:r>
      <w:r>
        <w:rPr>
          <w:rFonts w:ascii="David" w:hAnsi="David" w:cs="David"/>
          <w:sz w:val="24"/>
          <w:szCs w:val="24"/>
          <w:rtl/>
        </w:rPr>
        <w:t xml:space="preserve"> (2.10.2022) ואשר הוכחשה על-ידי הנתבעת </w:t>
      </w:r>
      <w:r>
        <w:rPr>
          <w:rFonts w:ascii="David" w:hAnsi="David" w:cs="David"/>
          <w:b/>
          <w:bCs/>
          <w:sz w:val="24"/>
          <w:szCs w:val="24"/>
          <w:rtl/>
        </w:rPr>
        <w:t>ראו: פרוט' עמ' 31 ש' 27-30</w:t>
      </w:r>
      <w:r>
        <w:rPr>
          <w:rFonts w:ascii="David" w:hAnsi="David" w:cs="David"/>
          <w:sz w:val="24"/>
          <w:szCs w:val="24"/>
          <w:rtl/>
        </w:rPr>
        <w:t xml:space="preserve">, </w:t>
      </w:r>
      <w:r>
        <w:rPr>
          <w:rFonts w:ascii="David" w:hAnsi="David" w:cs="David"/>
          <w:b/>
          <w:bCs/>
          <w:sz w:val="24"/>
          <w:szCs w:val="24"/>
          <w:rtl/>
        </w:rPr>
        <w:t>ש' 14-15</w:t>
      </w:r>
      <w:r>
        <w:rPr>
          <w:rFonts w:ascii="David" w:hAnsi="David" w:cs="David"/>
          <w:sz w:val="24"/>
          <w:szCs w:val="24"/>
          <w:rtl/>
        </w:rPr>
        <w:t xml:space="preserve">, אלא שגרסה זו לא נתמכה בראיות, לא על דרך הזמנת מאן דהוא "מהבניין" לצורך מסירת העדות ביחס לנסיבות כניסת הנתבעת לדירה ולא על דרך הבאת ראיות בדמות של הגשת אישור בדבר הגשת התלונה למשטרה או אסמכתה בדבר פנייה לפרקליטות ולבית המשפט ברשות הפלסטינאית. כידוע, מחדל זה של התובעת שבא לידי ביטוי באי הבאת עד או ראיה פועל לרעתה </w:t>
      </w:r>
      <w:r>
        <w:rPr>
          <w:rFonts w:ascii="David" w:hAnsi="David" w:cs="David"/>
          <w:b/>
          <w:bCs/>
          <w:sz w:val="24"/>
          <w:szCs w:val="24"/>
          <w:rtl/>
        </w:rPr>
        <w:t>ראו</w:t>
      </w:r>
      <w:r>
        <w:rPr>
          <w:rFonts w:ascii="David" w:hAnsi="David" w:cs="David"/>
          <w:sz w:val="24"/>
          <w:szCs w:val="24"/>
          <w:rtl/>
        </w:rPr>
        <w:t xml:space="preserve">: ע"א 5163/23 </w:t>
      </w:r>
      <w:r>
        <w:rPr>
          <w:rFonts w:ascii="David" w:hAnsi="David" w:cs="David"/>
          <w:b/>
          <w:bCs/>
          <w:sz w:val="24"/>
          <w:szCs w:val="24"/>
          <w:rtl/>
        </w:rPr>
        <w:t>חרוב נ' רשות מקרקעי ישראל</w:t>
      </w:r>
      <w:r>
        <w:rPr>
          <w:rFonts w:ascii="David" w:hAnsi="David" w:cs="David"/>
          <w:sz w:val="24"/>
          <w:szCs w:val="24"/>
          <w:rtl/>
        </w:rPr>
        <w:t xml:space="preserve"> (26.11.2023).</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rtl/>
        </w:rPr>
        <w:t xml:space="preserve">ער אני לכך שהנתבעת הודתה כי היא קיבלה זימון לבית המשפט ברשות הפלסטינאית בעניין הפלישה לדירה </w:t>
      </w:r>
      <w:r>
        <w:rPr>
          <w:rFonts w:ascii="David" w:hAnsi="David" w:cs="David"/>
          <w:b/>
          <w:bCs/>
          <w:sz w:val="24"/>
          <w:szCs w:val="24"/>
          <w:rtl/>
        </w:rPr>
        <w:t>ראו: פרוט' עמ' 33 ש' 15-16</w:t>
      </w:r>
      <w:r>
        <w:rPr>
          <w:rFonts w:ascii="David" w:hAnsi="David" w:cs="David"/>
          <w:sz w:val="24"/>
          <w:szCs w:val="24"/>
          <w:rtl/>
        </w:rPr>
        <w:t xml:space="preserve"> ואולם הודאה זו – היא בפני עצמה – לא שופכת אור על ההליכים שהתנהלו בבית משפט זה ועל התוצאה של הליכים אלה. הדבר נכון ביתר שאת מקום בו נטען על-ידי הנתבעת כי לא הוגשה כנגדה כל תלונה במשטרה ברשות הפלסטינאית וכפועל יוצא, היא לא מסרה כל גרסה בעניין זה </w:t>
      </w:r>
      <w:r>
        <w:rPr>
          <w:rFonts w:ascii="David" w:hAnsi="David" w:cs="David"/>
          <w:b/>
          <w:bCs/>
          <w:sz w:val="24"/>
          <w:szCs w:val="24"/>
          <w:rtl/>
        </w:rPr>
        <w:t>ראו: פרוט' עמ' 33 ש' 21-22</w:t>
      </w:r>
      <w:r>
        <w:rPr>
          <w:rFonts w:ascii="David" w:hAnsi="David" w:cs="David"/>
          <w:sz w:val="24"/>
          <w:szCs w:val="24"/>
          <w:rtl/>
        </w:rPr>
        <w:t xml:space="preserve">. </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spacing w:after="0" w:line="360" w:lineRule="auto"/>
        <w:ind w:left="360"/>
        <w:jc w:val="both"/>
        <w:rPr>
          <w:rFonts w:ascii="David" w:hAnsi="David" w:cs="David"/>
          <w:sz w:val="24"/>
          <w:szCs w:val="24"/>
          <w:rtl/>
        </w:rPr>
      </w:pPr>
      <w:r>
        <w:rPr>
          <w:rFonts w:ascii="David" w:hAnsi="David" w:cs="David"/>
          <w:sz w:val="24"/>
          <w:szCs w:val="24"/>
          <w:u w:val="single"/>
          <w:rtl/>
        </w:rPr>
        <w:t>שנית</w:t>
      </w:r>
      <w:r>
        <w:rPr>
          <w:rFonts w:ascii="David" w:hAnsi="David" w:cs="David"/>
          <w:sz w:val="24"/>
          <w:szCs w:val="24"/>
          <w:rtl/>
        </w:rPr>
        <w:t xml:space="preserve">, התובעת – אשר הגישה תביעה לשכר ראוי – כלל לא דרשה כל תשלום מהנתבעת בגין מגוריה בדירה </w:t>
      </w:r>
      <w:r>
        <w:rPr>
          <w:rFonts w:ascii="David" w:hAnsi="David" w:cs="David"/>
          <w:b/>
          <w:bCs/>
          <w:sz w:val="24"/>
          <w:szCs w:val="24"/>
          <w:rtl/>
        </w:rPr>
        <w:t>ראו: פרוט' עמ' 34 ש' 30-31</w:t>
      </w:r>
      <w:r>
        <w:rPr>
          <w:rFonts w:ascii="David" w:hAnsi="David" w:cs="David"/>
          <w:sz w:val="24"/>
          <w:szCs w:val="24"/>
          <w:rtl/>
        </w:rPr>
        <w:t xml:space="preserve"> ו"הסנונית הראשונה" המלמדת על דרישת התובעת </w:t>
      </w:r>
      <w:r w:rsidRPr="00A978EA">
        <w:rPr>
          <w:rFonts w:ascii="David" w:hAnsi="David" w:cs="David"/>
          <w:sz w:val="24"/>
          <w:szCs w:val="24"/>
          <w:rtl/>
        </w:rPr>
        <w:t>לשכר ראוי הינה הגשת תביעה זו</w:t>
      </w:r>
      <w:r w:rsidRPr="00A978EA">
        <w:rPr>
          <w:rFonts w:ascii="David" w:hAnsi="David" w:cs="David"/>
          <w:b/>
          <w:bCs/>
          <w:sz w:val="24"/>
          <w:szCs w:val="24"/>
          <w:rtl/>
        </w:rPr>
        <w:t xml:space="preserve"> ראו: </w:t>
      </w:r>
      <w:r w:rsidRPr="00E67B6C">
        <w:rPr>
          <w:rFonts w:ascii="David" w:hAnsi="David" w:cs="David"/>
          <w:sz w:val="24"/>
          <w:szCs w:val="24"/>
          <w:rtl/>
        </w:rPr>
        <w:t>עמ"ש (ת"א) 7396-12-09</w:t>
      </w:r>
      <w:r w:rsidRPr="00A978EA">
        <w:rPr>
          <w:rFonts w:ascii="David" w:hAnsi="David" w:cs="David"/>
          <w:sz w:val="24"/>
          <w:szCs w:val="24"/>
          <w:rtl/>
        </w:rPr>
        <w:t xml:space="preserve"> </w:t>
      </w:r>
      <w:r w:rsidRPr="00A978EA">
        <w:rPr>
          <w:rFonts w:ascii="David" w:hAnsi="David" w:cs="David" w:hint="cs"/>
          <w:b/>
          <w:bCs/>
          <w:sz w:val="24"/>
          <w:szCs w:val="24"/>
          <w:rtl/>
        </w:rPr>
        <w:t>פלונית נ' אלמוני</w:t>
      </w:r>
      <w:r w:rsidRPr="00A978EA">
        <w:rPr>
          <w:rFonts w:ascii="David" w:hAnsi="David" w:cs="David" w:hint="cs"/>
          <w:sz w:val="24"/>
          <w:szCs w:val="24"/>
          <w:rtl/>
        </w:rPr>
        <w:t xml:space="preserve"> (28.4.2013); </w:t>
      </w:r>
      <w:r>
        <w:rPr>
          <w:rFonts w:ascii="David" w:hAnsi="David" w:cs="David" w:hint="cs"/>
          <w:sz w:val="24"/>
          <w:szCs w:val="24"/>
          <w:rtl/>
        </w:rPr>
        <w:t>תלה"מ 44814-11-16</w:t>
      </w:r>
      <w:r>
        <w:rPr>
          <w:rFonts w:ascii="David" w:hAnsi="David" w:cs="David" w:hint="cs"/>
          <w:b/>
          <w:bCs/>
          <w:sz w:val="24"/>
          <w:szCs w:val="24"/>
          <w:rtl/>
        </w:rPr>
        <w:t xml:space="preserve"> ק. נ' ק.</w:t>
      </w:r>
      <w:r>
        <w:rPr>
          <w:rFonts w:ascii="David" w:hAnsi="David" w:cs="David" w:hint="cs"/>
          <w:sz w:val="24"/>
          <w:szCs w:val="24"/>
          <w:rtl/>
        </w:rPr>
        <w:t xml:space="preserve"> (17.9.2017).</w:t>
      </w:r>
    </w:p>
    <w:p w:rsidR="00516674" w:rsidRDefault="00516674" w:rsidP="00516674">
      <w:pPr>
        <w:pStyle w:val="a9"/>
        <w:spacing w:after="0" w:line="360" w:lineRule="auto"/>
        <w:ind w:left="360"/>
        <w:jc w:val="both"/>
        <w:rPr>
          <w:rFonts w:ascii="David" w:hAnsi="David" w:cs="David"/>
          <w:sz w:val="24"/>
          <w:szCs w:val="24"/>
          <w:rtl/>
        </w:rPr>
      </w:pPr>
    </w:p>
    <w:p w:rsidR="00516674" w:rsidRDefault="00516674" w:rsidP="00516674">
      <w:pPr>
        <w:pStyle w:val="a9"/>
        <w:numPr>
          <w:ilvl w:val="0"/>
          <w:numId w:val="1"/>
        </w:numPr>
        <w:spacing w:after="0" w:line="360" w:lineRule="auto"/>
        <w:jc w:val="both"/>
        <w:rPr>
          <w:rFonts w:ascii="David" w:hAnsi="David" w:cs="David"/>
          <w:i/>
          <w:iCs/>
          <w:sz w:val="24"/>
          <w:szCs w:val="24"/>
        </w:rPr>
      </w:pPr>
      <w:r>
        <w:rPr>
          <w:rFonts w:ascii="David" w:hAnsi="David" w:cs="David"/>
          <w:sz w:val="24"/>
          <w:szCs w:val="24"/>
          <w:rtl/>
        </w:rPr>
        <w:t xml:space="preserve">במצב דברים זה, כאשר ממועד כניסת הנתבעת לדירה ועד למועד הגשת התביעה, התובעת לא ביקשה כל תמורה עבור מגורי הנתבעת בדירה וכאשר התובעת לא עתרה לסילוק ידה של הנתבעת מהדירה כי "זה פתרון אחרון, היא יושבת שם היא והבנות של אחי" </w:t>
      </w:r>
      <w:r>
        <w:rPr>
          <w:rFonts w:ascii="David" w:hAnsi="David" w:cs="David"/>
          <w:b/>
          <w:bCs/>
          <w:sz w:val="24"/>
          <w:szCs w:val="24"/>
          <w:rtl/>
        </w:rPr>
        <w:t>ראו: פרוט' עמ' 19 ש' 11-12</w:t>
      </w:r>
      <w:r>
        <w:rPr>
          <w:rFonts w:ascii="David" w:hAnsi="David" w:cs="David"/>
          <w:sz w:val="24"/>
          <w:szCs w:val="24"/>
          <w:rtl/>
        </w:rPr>
        <w:t>, אין לי אלא ללמוד על הסכמת התובעת למגורים ללא תמורה של התובעת בדירה.</w:t>
      </w:r>
    </w:p>
    <w:p w:rsidR="00516674" w:rsidRDefault="00516674" w:rsidP="00516674">
      <w:pPr>
        <w:pStyle w:val="a9"/>
        <w:spacing w:after="0" w:line="360" w:lineRule="auto"/>
        <w:ind w:left="360"/>
        <w:jc w:val="both"/>
        <w:rPr>
          <w:rFonts w:ascii="David" w:hAnsi="David" w:cs="David"/>
          <w:i/>
          <w:iCs/>
          <w:sz w:val="24"/>
          <w:szCs w:val="24"/>
        </w:rPr>
      </w:pPr>
    </w:p>
    <w:p w:rsidR="00516674" w:rsidRDefault="00516674" w:rsidP="00516674">
      <w:pPr>
        <w:pStyle w:val="a9"/>
        <w:numPr>
          <w:ilvl w:val="0"/>
          <w:numId w:val="1"/>
        </w:numPr>
        <w:spacing w:after="0" w:line="360" w:lineRule="auto"/>
        <w:jc w:val="both"/>
        <w:rPr>
          <w:rFonts w:ascii="David" w:hAnsi="David" w:cs="David"/>
          <w:i/>
          <w:iCs/>
          <w:sz w:val="24"/>
          <w:szCs w:val="24"/>
        </w:rPr>
      </w:pPr>
      <w:r>
        <w:rPr>
          <w:rFonts w:ascii="David" w:hAnsi="David" w:cs="David"/>
          <w:sz w:val="24"/>
          <w:szCs w:val="24"/>
          <w:rtl/>
        </w:rPr>
        <w:t xml:space="preserve">כפועל יוצא, יהיה זה בלתי צודק להפוך את הנתבעת ל"שוכרת בעל כורחה" </w:t>
      </w:r>
      <w:r>
        <w:rPr>
          <w:rFonts w:ascii="David" w:hAnsi="David" w:cs="David"/>
          <w:b/>
          <w:bCs/>
          <w:sz w:val="24"/>
          <w:szCs w:val="24"/>
          <w:rtl/>
        </w:rPr>
        <w:t>השוו</w:t>
      </w:r>
      <w:r>
        <w:rPr>
          <w:rFonts w:ascii="David" w:hAnsi="David" w:cs="David"/>
          <w:sz w:val="24"/>
          <w:szCs w:val="24"/>
          <w:rtl/>
        </w:rPr>
        <w:t xml:space="preserve">: בבע"מ 5357/06 </w:t>
      </w:r>
      <w:r>
        <w:rPr>
          <w:rFonts w:ascii="David" w:hAnsi="David" w:cs="David"/>
          <w:b/>
          <w:bCs/>
          <w:sz w:val="24"/>
          <w:szCs w:val="24"/>
          <w:rtl/>
        </w:rPr>
        <w:t>פלוני נ' פלונית</w:t>
      </w:r>
      <w:r>
        <w:rPr>
          <w:rFonts w:ascii="David" w:hAnsi="David" w:cs="David"/>
          <w:sz w:val="24"/>
          <w:szCs w:val="24"/>
          <w:rtl/>
        </w:rPr>
        <w:t xml:space="preserve"> (22.10.2006); בע"מ 9881/05 </w:t>
      </w:r>
      <w:r>
        <w:rPr>
          <w:rFonts w:ascii="David" w:hAnsi="David" w:cs="David"/>
          <w:b/>
          <w:bCs/>
          <w:sz w:val="24"/>
          <w:szCs w:val="24"/>
          <w:rtl/>
        </w:rPr>
        <w:t>פלוני נ' פלונית</w:t>
      </w:r>
      <w:r>
        <w:rPr>
          <w:rFonts w:ascii="David" w:hAnsi="David" w:cs="David"/>
          <w:sz w:val="24"/>
          <w:szCs w:val="24"/>
          <w:rtl/>
        </w:rPr>
        <w:t xml:space="preserve"> (9.4.2006); ע"מ (מחוזי ירושלים) 320/02 </w:t>
      </w:r>
      <w:r>
        <w:rPr>
          <w:rFonts w:ascii="David" w:hAnsi="David" w:cs="David"/>
          <w:b/>
          <w:bCs/>
          <w:sz w:val="24"/>
          <w:szCs w:val="24"/>
          <w:rtl/>
        </w:rPr>
        <w:t xml:space="preserve">עפל-רפאלי נ' עפל </w:t>
      </w:r>
      <w:r>
        <w:rPr>
          <w:rFonts w:ascii="David" w:hAnsi="David" w:cs="David"/>
          <w:sz w:val="24"/>
          <w:szCs w:val="24"/>
          <w:rtl/>
        </w:rPr>
        <w:t xml:space="preserve">(13.10.2002); תלה"מ 33568-04-20 </w:t>
      </w:r>
      <w:r>
        <w:rPr>
          <w:rFonts w:ascii="David" w:hAnsi="David" w:cs="David"/>
          <w:b/>
          <w:bCs/>
          <w:sz w:val="24"/>
          <w:szCs w:val="24"/>
          <w:rtl/>
        </w:rPr>
        <w:t>פלוני נ' פלונית</w:t>
      </w:r>
      <w:r>
        <w:rPr>
          <w:rFonts w:ascii="David" w:hAnsi="David" w:cs="David"/>
          <w:sz w:val="24"/>
          <w:szCs w:val="24"/>
          <w:rtl/>
        </w:rPr>
        <w:t xml:space="preserve"> (7.3.2023); תלה"מ 8496-04-19 </w:t>
      </w:r>
      <w:r>
        <w:rPr>
          <w:rFonts w:ascii="David" w:hAnsi="David" w:cs="David"/>
          <w:b/>
          <w:bCs/>
          <w:sz w:val="24"/>
          <w:szCs w:val="24"/>
          <w:rtl/>
        </w:rPr>
        <w:t>ג' נ' ג'</w:t>
      </w:r>
      <w:r>
        <w:rPr>
          <w:rFonts w:ascii="David" w:hAnsi="David" w:cs="David"/>
          <w:sz w:val="24"/>
          <w:szCs w:val="24"/>
          <w:rtl/>
        </w:rPr>
        <w:t xml:space="preserve"> (2.7.2023); תמ"ש 46648-04-14 </w:t>
      </w:r>
      <w:r>
        <w:rPr>
          <w:rFonts w:ascii="David" w:hAnsi="David" w:cs="David"/>
          <w:b/>
          <w:bCs/>
          <w:sz w:val="24"/>
          <w:szCs w:val="24"/>
          <w:rtl/>
        </w:rPr>
        <w:t>ש. נ' ש.</w:t>
      </w:r>
      <w:r>
        <w:rPr>
          <w:rFonts w:ascii="David" w:hAnsi="David" w:cs="David"/>
          <w:sz w:val="24"/>
          <w:szCs w:val="24"/>
          <w:rtl/>
        </w:rPr>
        <w:t xml:space="preserve"> (6.11.2016) ולחייב אותה בדמי שימוש ראויים.</w:t>
      </w:r>
    </w:p>
    <w:p w:rsidR="00516674" w:rsidRDefault="00516674" w:rsidP="00516674">
      <w:pPr>
        <w:pStyle w:val="a9"/>
        <w:spacing w:after="0" w:line="360" w:lineRule="auto"/>
        <w:ind w:left="360"/>
        <w:jc w:val="both"/>
        <w:rPr>
          <w:rFonts w:ascii="David" w:hAnsi="David" w:cs="David"/>
          <w:i/>
          <w:iCs/>
          <w:sz w:val="24"/>
          <w:szCs w:val="24"/>
        </w:rPr>
      </w:pPr>
    </w:p>
    <w:p w:rsidR="00516674" w:rsidRDefault="00516674" w:rsidP="00516674">
      <w:pPr>
        <w:pStyle w:val="a9"/>
        <w:numPr>
          <w:ilvl w:val="0"/>
          <w:numId w:val="1"/>
        </w:numPr>
        <w:spacing w:after="0" w:line="360" w:lineRule="auto"/>
        <w:jc w:val="both"/>
        <w:rPr>
          <w:rFonts w:ascii="David" w:hAnsi="David" w:cs="David"/>
          <w:i/>
          <w:iCs/>
          <w:sz w:val="24"/>
          <w:szCs w:val="24"/>
        </w:rPr>
      </w:pPr>
      <w:r>
        <w:rPr>
          <w:rFonts w:ascii="David" w:hAnsi="David" w:cs="David"/>
          <w:sz w:val="24"/>
          <w:szCs w:val="24"/>
          <w:rtl/>
        </w:rPr>
        <w:t xml:space="preserve">בנסיבות אלה מצאתי מקום לעשות שימוש </w:t>
      </w:r>
      <w:r>
        <w:rPr>
          <w:rFonts w:ascii="David" w:hAnsi="David" w:cs="David"/>
          <w:b/>
          <w:bCs/>
          <w:sz w:val="24"/>
          <w:szCs w:val="24"/>
          <w:rtl/>
        </w:rPr>
        <w:t>בס' 2 לחוק עשיית עושר</w:t>
      </w:r>
      <w:r>
        <w:rPr>
          <w:rFonts w:ascii="David" w:hAnsi="David" w:cs="David"/>
          <w:sz w:val="24"/>
          <w:szCs w:val="24"/>
          <w:rtl/>
        </w:rPr>
        <w:t xml:space="preserve"> ולפטור את הנתבעת מתשלום שכר ראוי בגין התקופה שעד למועד הגשת התביעה.</w:t>
      </w:r>
    </w:p>
    <w:p w:rsidR="00516674" w:rsidRDefault="00516674" w:rsidP="00516674">
      <w:pPr>
        <w:pStyle w:val="a9"/>
        <w:numPr>
          <w:ilvl w:val="0"/>
          <w:numId w:val="1"/>
        </w:numPr>
        <w:spacing w:after="0" w:line="360" w:lineRule="auto"/>
        <w:jc w:val="both"/>
        <w:rPr>
          <w:rFonts w:ascii="David" w:hAnsi="David" w:cs="David"/>
          <w:b/>
          <w:bCs/>
          <w:sz w:val="24"/>
          <w:szCs w:val="24"/>
          <w:u w:val="single"/>
          <w:rtl/>
        </w:rPr>
      </w:pPr>
      <w:r>
        <w:rPr>
          <w:rFonts w:ascii="David" w:hAnsi="David" w:cs="David"/>
          <w:sz w:val="24"/>
          <w:szCs w:val="24"/>
          <w:rtl/>
        </w:rPr>
        <w:lastRenderedPageBreak/>
        <w:t xml:space="preserve">לכאורה, ניתן היה לבוא ולומר כי הנתבעת חבה בשכר ראוי ממועד הגשת התביעה ועד למועד מתן פסק הדין. לעניין סמכותו של בית המשפט לפסוק דמי שימוש ראויים עד למועד מתן פסק הדין, וזאת מטעמים של יעילות דיונית ובכדי למנוע התדיינות נוספת </w:t>
      </w:r>
      <w:r>
        <w:rPr>
          <w:rFonts w:ascii="David" w:hAnsi="David" w:cs="David"/>
          <w:b/>
          <w:bCs/>
          <w:sz w:val="24"/>
          <w:szCs w:val="24"/>
          <w:rtl/>
        </w:rPr>
        <w:t>ראו</w:t>
      </w:r>
      <w:r>
        <w:rPr>
          <w:rFonts w:ascii="David" w:hAnsi="David" w:cs="David"/>
          <w:sz w:val="24"/>
          <w:szCs w:val="24"/>
          <w:rtl/>
        </w:rPr>
        <w:t xml:space="preserve">: ע"א 448/88 </w:t>
      </w:r>
      <w:r>
        <w:rPr>
          <w:rFonts w:ascii="David" w:hAnsi="David" w:cs="David"/>
          <w:b/>
          <w:bCs/>
          <w:sz w:val="24"/>
          <w:szCs w:val="24"/>
          <w:rtl/>
        </w:rPr>
        <w:t>בן יאיר השרון בע"מ נ' עיזבון הדסאי מורטנפלד</w:t>
      </w:r>
      <w:r>
        <w:rPr>
          <w:rFonts w:ascii="David" w:hAnsi="David" w:cs="David"/>
          <w:sz w:val="24"/>
          <w:szCs w:val="24"/>
          <w:rtl/>
        </w:rPr>
        <w:t xml:space="preserve">, פ"ד מה(2) 36, 44; ת"א 37802-10-13 </w:t>
      </w:r>
      <w:r>
        <w:rPr>
          <w:rFonts w:ascii="David" w:hAnsi="David" w:cs="David"/>
          <w:b/>
          <w:bCs/>
          <w:sz w:val="24"/>
          <w:szCs w:val="24"/>
          <w:rtl/>
        </w:rPr>
        <w:t xml:space="preserve">מדינת ישראל נ' קלקודה </w:t>
      </w:r>
      <w:r>
        <w:rPr>
          <w:rFonts w:ascii="David" w:hAnsi="David" w:cs="David"/>
          <w:sz w:val="24"/>
          <w:szCs w:val="24"/>
          <w:rtl/>
        </w:rPr>
        <w:t>(19.12.2019)</w:t>
      </w:r>
      <w:r>
        <w:rPr>
          <w:rFonts w:ascii="David" w:hAnsi="David" w:cs="David"/>
          <w:b/>
          <w:bCs/>
          <w:sz w:val="24"/>
          <w:szCs w:val="24"/>
          <w:rtl/>
        </w:rPr>
        <w:t xml:space="preserve"> </w:t>
      </w:r>
      <w:r>
        <w:rPr>
          <w:rFonts w:ascii="David" w:hAnsi="David" w:cs="David"/>
          <w:sz w:val="24"/>
          <w:szCs w:val="24"/>
          <w:rtl/>
        </w:rPr>
        <w:t>תלה"מ 33710-10-20</w:t>
      </w:r>
      <w:r>
        <w:rPr>
          <w:rFonts w:ascii="David" w:hAnsi="David" w:cs="David"/>
          <w:b/>
          <w:bCs/>
          <w:sz w:val="24"/>
          <w:szCs w:val="24"/>
          <w:rtl/>
        </w:rPr>
        <w:t xml:space="preserve"> כ. נ' כ.</w:t>
      </w:r>
      <w:r>
        <w:rPr>
          <w:rFonts w:ascii="David" w:hAnsi="David" w:cs="David"/>
          <w:sz w:val="24"/>
          <w:szCs w:val="24"/>
          <w:rtl/>
        </w:rPr>
        <w:t xml:space="preserve"> (18.3.2021); תקנה 2 לתקנות המשפחה.</w:t>
      </w:r>
    </w:p>
    <w:p w:rsidR="00516674" w:rsidRDefault="00516674" w:rsidP="00516674">
      <w:pPr>
        <w:pStyle w:val="a9"/>
        <w:spacing w:line="360" w:lineRule="auto"/>
        <w:rPr>
          <w:rFonts w:ascii="David" w:hAnsi="David" w:cs="David"/>
          <w:b/>
          <w:bCs/>
          <w:sz w:val="24"/>
          <w:szCs w:val="24"/>
          <w:u w:val="single"/>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ואולם, במסגרת כתב התביעה עתרה התובעת לחייב את הנתבעת בשכר ראוי "...עד ליום הגשת התביעה" </w:t>
      </w:r>
      <w:r>
        <w:rPr>
          <w:rFonts w:ascii="David" w:hAnsi="David" w:cs="David"/>
          <w:b/>
          <w:bCs/>
          <w:sz w:val="24"/>
          <w:szCs w:val="24"/>
          <w:rtl/>
        </w:rPr>
        <w:t>ראו: ס' 7 ו-16 לכתב התביעה</w:t>
      </w:r>
      <w:r>
        <w:rPr>
          <w:rFonts w:ascii="David" w:hAnsi="David" w:cs="David"/>
          <w:sz w:val="24"/>
          <w:szCs w:val="24"/>
          <w:rtl/>
        </w:rPr>
        <w:t xml:space="preserve"> וכידוע בית המשפט לא יעניק, ככלל, סעד שלא נתבקש </w:t>
      </w:r>
      <w:r>
        <w:rPr>
          <w:rFonts w:ascii="David" w:hAnsi="David" w:cs="David"/>
          <w:b/>
          <w:bCs/>
          <w:sz w:val="24"/>
          <w:szCs w:val="24"/>
          <w:rtl/>
        </w:rPr>
        <w:t>ראו</w:t>
      </w:r>
      <w:r>
        <w:rPr>
          <w:rFonts w:ascii="David" w:hAnsi="David" w:cs="David"/>
          <w:sz w:val="24"/>
          <w:szCs w:val="24"/>
          <w:rtl/>
        </w:rPr>
        <w:t xml:space="preserve">: ע"א 7080/19 </w:t>
      </w:r>
      <w:r>
        <w:rPr>
          <w:rFonts w:ascii="David" w:hAnsi="David" w:cs="David"/>
          <w:b/>
          <w:bCs/>
          <w:sz w:val="24"/>
          <w:szCs w:val="24"/>
          <w:rtl/>
        </w:rPr>
        <w:t>חסן עווד נ' חסן עווד</w:t>
      </w:r>
      <w:r>
        <w:rPr>
          <w:rFonts w:ascii="David" w:hAnsi="David" w:cs="David"/>
          <w:sz w:val="24"/>
          <w:szCs w:val="24"/>
          <w:rtl/>
        </w:rPr>
        <w:t xml:space="preserve"> (5.8.2021) לפיכך אין מקום לפסוק שכר ראוי מעבר לתקופה שנתבקשה.</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טעם נוסף לכך שאין לפסוק לתובעת שכר ראוי נעוץ בעובדה שלפיה התובעת לא ביקשה – לא בכתב התביעה, לא במהלך בירור ההליך ואף לא בסיכומים – למנות שמאי לצורך קביעת דמי השכירות.</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התביעה היא תביעה לסעד כספי וכאשר נתבע סעד זה, התובע נדרש לצייד את בית המשפט בראיות שיאפשרו לקבוע מהו הסכום הכספי לו הוא זכאי </w:t>
      </w:r>
      <w:r>
        <w:rPr>
          <w:rFonts w:ascii="David" w:hAnsi="David" w:cs="David"/>
          <w:b/>
          <w:bCs/>
          <w:sz w:val="24"/>
          <w:szCs w:val="24"/>
          <w:rtl/>
        </w:rPr>
        <w:t>ראו</w:t>
      </w:r>
      <w:r>
        <w:rPr>
          <w:rFonts w:ascii="David" w:hAnsi="David" w:cs="David"/>
          <w:sz w:val="24"/>
          <w:szCs w:val="24"/>
          <w:rtl/>
        </w:rPr>
        <w:t xml:space="preserve">: ע"א 9145/18 </w:t>
      </w:r>
      <w:r>
        <w:rPr>
          <w:rFonts w:ascii="David" w:hAnsi="David" w:cs="David"/>
          <w:b/>
          <w:bCs/>
          <w:sz w:val="24"/>
          <w:szCs w:val="24"/>
          <w:rtl/>
        </w:rPr>
        <w:t xml:space="preserve">שרות מזור א' לתיקון ושיפוץ מוצרי חשמל ביתיים בע"מ נ' שרות פלוס בע"מ </w:t>
      </w:r>
      <w:r>
        <w:rPr>
          <w:rFonts w:ascii="David" w:hAnsi="David" w:cs="David"/>
          <w:sz w:val="24"/>
          <w:szCs w:val="24"/>
          <w:rtl/>
        </w:rPr>
        <w:t>(24.1.2021).</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במקרה בו הסעד המבוקש הינו דמי שימוש ראויים, אלו ייקבעו בדרך כלל בהתאם להערכה מקצועית המבוצעת בדרך של חוות דעת שמאית </w:t>
      </w:r>
      <w:r>
        <w:rPr>
          <w:rFonts w:ascii="David" w:hAnsi="David" w:cs="David"/>
          <w:b/>
          <w:bCs/>
          <w:sz w:val="24"/>
          <w:szCs w:val="24"/>
          <w:rtl/>
        </w:rPr>
        <w:t>ראו</w:t>
      </w:r>
      <w:r>
        <w:rPr>
          <w:rFonts w:ascii="David" w:hAnsi="David" w:cs="David"/>
          <w:sz w:val="24"/>
          <w:szCs w:val="24"/>
          <w:rtl/>
        </w:rPr>
        <w:t xml:space="preserve">: רע"א 4683/22 </w:t>
      </w:r>
      <w:r>
        <w:rPr>
          <w:rFonts w:ascii="David" w:hAnsi="David" w:cs="David"/>
          <w:b/>
          <w:bCs/>
          <w:sz w:val="24"/>
          <w:szCs w:val="24"/>
          <w:rtl/>
        </w:rPr>
        <w:t xml:space="preserve">ארזואן נ' רשות מקרקעי ישראל – מחוז דרום </w:t>
      </w:r>
      <w:r>
        <w:rPr>
          <w:rFonts w:ascii="David" w:hAnsi="David" w:cs="David"/>
          <w:sz w:val="24"/>
          <w:szCs w:val="24"/>
          <w:rtl/>
        </w:rPr>
        <w:t xml:space="preserve">(11.8.2022); תמ"ש 28890-04-13 </w:t>
      </w:r>
      <w:r>
        <w:rPr>
          <w:rFonts w:ascii="David" w:hAnsi="David" w:cs="David"/>
          <w:b/>
          <w:bCs/>
          <w:sz w:val="24"/>
          <w:szCs w:val="24"/>
          <w:rtl/>
        </w:rPr>
        <w:t>א. נ' א.</w:t>
      </w:r>
      <w:r>
        <w:rPr>
          <w:rFonts w:ascii="David" w:hAnsi="David" w:cs="David"/>
          <w:sz w:val="24"/>
          <w:szCs w:val="24"/>
          <w:rtl/>
        </w:rPr>
        <w:t xml:space="preserve"> (31.3.2017).</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במקרים שבהם ניתן להוכיח את הסכום הנתבע באופן מדויק – ובמקרה שלפניי לא הייתה כל מניעה לעתור למינוי שמאי מקרקעין – מוטלת על התובע חובה להוכיח לא רק את עצם קיומו של החוב, אלא גם את סכום החוב, כך שאפילו אם הוכיח התובע קיומו של חוב, ככל שלא הוכיח את סכומו – תידחה תביעתו </w:t>
      </w:r>
      <w:r>
        <w:rPr>
          <w:rFonts w:ascii="David" w:hAnsi="David" w:cs="David"/>
          <w:b/>
          <w:bCs/>
          <w:sz w:val="24"/>
          <w:szCs w:val="24"/>
          <w:rtl/>
        </w:rPr>
        <w:t>ראו:</w:t>
      </w:r>
      <w:r>
        <w:rPr>
          <w:rFonts w:ascii="David" w:hAnsi="David" w:cs="David"/>
          <w:sz w:val="24"/>
          <w:szCs w:val="24"/>
          <w:rtl/>
        </w:rPr>
        <w:t xml:space="preserve"> ע"א 355/80</w:t>
      </w:r>
      <w:r>
        <w:rPr>
          <w:rFonts w:ascii="David" w:hAnsi="David" w:cs="David"/>
          <w:b/>
          <w:bCs/>
          <w:sz w:val="24"/>
          <w:szCs w:val="24"/>
          <w:rtl/>
        </w:rPr>
        <w:t xml:space="preserve"> נתן אניסימוב ב"מ נ' מלון טירת בת שבע בע"מ</w:t>
      </w:r>
      <w:r>
        <w:rPr>
          <w:rFonts w:ascii="David" w:hAnsi="David" w:cs="David"/>
          <w:sz w:val="24"/>
          <w:szCs w:val="24"/>
          <w:rtl/>
        </w:rPr>
        <w:t xml:space="preserve">, פ"ד לה(2) 800; תא"מ 51614-04-17 </w:t>
      </w:r>
      <w:r>
        <w:rPr>
          <w:rFonts w:ascii="David" w:hAnsi="David" w:cs="David"/>
          <w:b/>
          <w:bCs/>
          <w:sz w:val="24"/>
          <w:szCs w:val="24"/>
          <w:rtl/>
        </w:rPr>
        <w:t>קודקוד הורדים בע"מ נ' עמותה רשומה</w:t>
      </w:r>
      <w:r>
        <w:rPr>
          <w:rFonts w:ascii="David" w:hAnsi="David" w:cs="David"/>
          <w:sz w:val="24"/>
          <w:szCs w:val="24"/>
          <w:rtl/>
        </w:rPr>
        <w:t xml:space="preserve"> (7.3.2020).</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במקרה שלפניי התובעת לא ביקשה כאמור למנות שמאי מקרקעין והיא הסתפקה בטענה כי שכר דירה בסך של 1,000 דולר לחודש הוא שכר דירה "נהוג" </w:t>
      </w:r>
      <w:r>
        <w:rPr>
          <w:rFonts w:ascii="David" w:hAnsi="David" w:cs="David"/>
          <w:b/>
          <w:bCs/>
          <w:sz w:val="24"/>
          <w:szCs w:val="24"/>
          <w:rtl/>
        </w:rPr>
        <w:t>ראו: ס' 14 לכתב התביעה</w:t>
      </w:r>
      <w:r>
        <w:rPr>
          <w:rFonts w:ascii="David" w:hAnsi="David" w:cs="David"/>
          <w:sz w:val="24"/>
          <w:szCs w:val="24"/>
          <w:rtl/>
        </w:rPr>
        <w:t xml:space="preserve"> ו"מאוזן" </w:t>
      </w:r>
      <w:r>
        <w:rPr>
          <w:rFonts w:ascii="David" w:hAnsi="David" w:cs="David"/>
          <w:b/>
          <w:bCs/>
          <w:sz w:val="24"/>
          <w:szCs w:val="24"/>
          <w:rtl/>
        </w:rPr>
        <w:t>ראו: פרוט' עמ' 37 ש' 20-21</w:t>
      </w:r>
      <w:r>
        <w:rPr>
          <w:rFonts w:ascii="David" w:hAnsi="David" w:cs="David"/>
          <w:sz w:val="24"/>
          <w:szCs w:val="24"/>
          <w:rtl/>
        </w:rPr>
        <w:t xml:space="preserve">. לאור עובדה זו ולאור הכחשת גובה דמי השכירות על-ידי הנתבעת </w:t>
      </w:r>
      <w:r>
        <w:rPr>
          <w:rFonts w:ascii="David" w:hAnsi="David" w:cs="David"/>
          <w:b/>
          <w:bCs/>
          <w:sz w:val="24"/>
          <w:szCs w:val="24"/>
          <w:rtl/>
        </w:rPr>
        <w:t>ראו: ס' 6 לכתב ההגנה</w:t>
      </w:r>
      <w:r>
        <w:rPr>
          <w:rFonts w:ascii="David" w:hAnsi="David" w:cs="David"/>
          <w:sz w:val="24"/>
          <w:szCs w:val="24"/>
          <w:rtl/>
        </w:rPr>
        <w:t>, סכום התביעה לא הוכח.</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מנימוקים אלה, עתירת התובעת לדמי שימוש ראויים נדחית.</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דחיית עתירת התובעת לדמי שימוש ראויים בנימוק של הסכמתה למגורי חינם של התובעת בדירה, משמעותה כי לא נגרם לתובעת כל נזק בגין שהות הנתבעת בדירה. בתוך כך, אין כל צורך להשיב את המצב לקדמותו על דרך פסיקת פיצוי בגין עוגמת נפש </w:t>
      </w:r>
      <w:r>
        <w:rPr>
          <w:rFonts w:ascii="David" w:hAnsi="David" w:cs="David"/>
          <w:b/>
          <w:bCs/>
          <w:sz w:val="24"/>
          <w:szCs w:val="24"/>
          <w:rtl/>
        </w:rPr>
        <w:t>ראו</w:t>
      </w:r>
      <w:r>
        <w:rPr>
          <w:rFonts w:ascii="David" w:hAnsi="David" w:cs="David"/>
          <w:sz w:val="24"/>
          <w:szCs w:val="24"/>
          <w:rtl/>
        </w:rPr>
        <w:t xml:space="preserve">: תמ"ש 53160-09-12 </w:t>
      </w:r>
      <w:r>
        <w:rPr>
          <w:rFonts w:ascii="David" w:hAnsi="David" w:cs="David"/>
          <w:b/>
          <w:bCs/>
          <w:sz w:val="24"/>
          <w:szCs w:val="24"/>
          <w:rtl/>
        </w:rPr>
        <w:t>ד.מ.ש. נ' ח.מ.ש.</w:t>
      </w:r>
      <w:r>
        <w:rPr>
          <w:rFonts w:ascii="David" w:hAnsi="David" w:cs="David"/>
          <w:sz w:val="24"/>
          <w:szCs w:val="24"/>
          <w:rtl/>
        </w:rPr>
        <w:t xml:space="preserve"> (1.4.2014). לאור זאת ומשעה שהתובעת השאירה את הסוגיה לשיקול דעת בית המשפט </w:t>
      </w:r>
      <w:r>
        <w:rPr>
          <w:rFonts w:ascii="David" w:hAnsi="David" w:cs="David"/>
          <w:b/>
          <w:bCs/>
          <w:sz w:val="24"/>
          <w:szCs w:val="24"/>
          <w:rtl/>
        </w:rPr>
        <w:t>ראו: פרוט' עמ' 37 ש' 24</w:t>
      </w:r>
      <w:r>
        <w:rPr>
          <w:rFonts w:ascii="David" w:hAnsi="David" w:cs="David"/>
          <w:sz w:val="24"/>
          <w:szCs w:val="24"/>
          <w:rtl/>
        </w:rPr>
        <w:t xml:space="preserve"> אני דוחה את עתירת התובעת לפיצוי בגין עוגמת נפש.</w:t>
      </w:r>
    </w:p>
    <w:p w:rsidR="00516674" w:rsidRDefault="00516674" w:rsidP="00516674">
      <w:pPr>
        <w:spacing w:line="360" w:lineRule="auto"/>
        <w:jc w:val="both"/>
        <w:rPr>
          <w:rFonts w:ascii="David" w:hAnsi="David"/>
          <w:b/>
          <w:bCs/>
          <w:u w:val="single"/>
          <w:rtl/>
        </w:rPr>
      </w:pPr>
    </w:p>
    <w:p w:rsidR="00516674" w:rsidRDefault="00516674" w:rsidP="00516674">
      <w:pPr>
        <w:spacing w:line="360" w:lineRule="auto"/>
        <w:jc w:val="both"/>
        <w:rPr>
          <w:rFonts w:ascii="David" w:hAnsi="David"/>
          <w:b/>
          <w:bCs/>
          <w:u w:val="single"/>
        </w:rPr>
      </w:pPr>
      <w:r>
        <w:rPr>
          <w:rFonts w:ascii="David" w:hAnsi="David"/>
          <w:b/>
          <w:bCs/>
          <w:u w:val="single"/>
          <w:rtl/>
        </w:rPr>
        <w:t>התוצאה</w:t>
      </w:r>
    </w:p>
    <w:p w:rsidR="00516674" w:rsidRDefault="00516674" w:rsidP="00516674">
      <w:pPr>
        <w:pStyle w:val="a9"/>
        <w:spacing w:line="360" w:lineRule="auto"/>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התוצאה היא כי התביעה נדחית.</w:t>
      </w:r>
    </w:p>
    <w:p w:rsidR="00516674" w:rsidRDefault="00516674" w:rsidP="00516674">
      <w:pPr>
        <w:pStyle w:val="a9"/>
        <w:spacing w:after="0" w:line="360" w:lineRule="auto"/>
        <w:ind w:left="360"/>
        <w:jc w:val="both"/>
        <w:rPr>
          <w:rFonts w:ascii="David" w:hAnsi="David" w:cs="David"/>
          <w:sz w:val="24"/>
          <w:szCs w:val="24"/>
        </w:rPr>
      </w:pPr>
    </w:p>
    <w:p w:rsidR="00516674" w:rsidRDefault="00516674" w:rsidP="00516674">
      <w:pPr>
        <w:pStyle w:val="a9"/>
        <w:numPr>
          <w:ilvl w:val="0"/>
          <w:numId w:val="1"/>
        </w:numPr>
        <w:spacing w:after="0" w:line="360" w:lineRule="auto"/>
        <w:jc w:val="both"/>
        <w:rPr>
          <w:rFonts w:ascii="David" w:hAnsi="David" w:cs="David"/>
          <w:sz w:val="24"/>
          <w:szCs w:val="24"/>
        </w:rPr>
      </w:pPr>
      <w:r>
        <w:rPr>
          <w:rFonts w:ascii="David" w:hAnsi="David" w:cs="David"/>
          <w:sz w:val="24"/>
          <w:szCs w:val="24"/>
          <w:rtl/>
        </w:rPr>
        <w:t>לאור התוצאה, אני מחייב את התובעת בהוצאות משפט בסך של 15,00 ₪ אשר ישולם בתוך 30 ימים.</w:t>
      </w:r>
    </w:p>
    <w:p w:rsidR="00516674" w:rsidRDefault="00516674" w:rsidP="00516674">
      <w:pPr>
        <w:pStyle w:val="a9"/>
        <w:spacing w:line="360" w:lineRule="auto"/>
        <w:ind w:left="360"/>
        <w:jc w:val="both"/>
        <w:rPr>
          <w:rFonts w:ascii="David" w:hAnsi="David"/>
          <w:b/>
          <w:bCs/>
          <w:rtl/>
        </w:rPr>
      </w:pPr>
    </w:p>
    <w:p w:rsidR="00516674" w:rsidRPr="00DC0207" w:rsidRDefault="00DC0207" w:rsidP="00516674">
      <w:pPr>
        <w:pStyle w:val="a9"/>
        <w:numPr>
          <w:ilvl w:val="0"/>
          <w:numId w:val="1"/>
        </w:numPr>
        <w:spacing w:line="360" w:lineRule="auto"/>
        <w:jc w:val="both"/>
        <w:rPr>
          <w:rFonts w:ascii="David" w:hAnsi="David" w:cs="David"/>
          <w:sz w:val="24"/>
          <w:szCs w:val="24"/>
          <w:rtl/>
        </w:rPr>
      </w:pPr>
      <w:r w:rsidRPr="00DC0207">
        <w:rPr>
          <w:rFonts w:ascii="David" w:hAnsi="David" w:cs="David" w:hint="cs"/>
          <w:sz w:val="24"/>
          <w:szCs w:val="24"/>
          <w:rtl/>
        </w:rPr>
        <w:t>אני מתיר את פרסום פסק הדין לאחר השמטת פרטים מזהים.</w:t>
      </w:r>
    </w:p>
    <w:p w:rsidR="00516674" w:rsidRDefault="00516674" w:rsidP="00516674">
      <w:pPr>
        <w:pStyle w:val="a9"/>
        <w:spacing w:after="0" w:line="360" w:lineRule="auto"/>
        <w:ind w:left="360"/>
        <w:jc w:val="both"/>
        <w:rPr>
          <w:rFonts w:ascii="David" w:hAnsi="David" w:cs="David"/>
          <w:i/>
          <w:iCs/>
          <w:sz w:val="24"/>
          <w:szCs w:val="24"/>
          <w:rtl/>
        </w:rPr>
      </w:pPr>
    </w:p>
    <w:p w:rsidR="00516674" w:rsidRDefault="00516674" w:rsidP="0051667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ז' טבת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19 דצמבר 2023</w:t>
          </w:r>
        </w:sdtContent>
      </w:sdt>
      <w:r>
        <w:rPr>
          <w:rFonts w:ascii="Arial" w:hAnsi="Arial"/>
          <w:noProof w:val="0"/>
          <w:rtl/>
        </w:rPr>
        <w:t>, בהעדר הצדדים.</w:t>
      </w:r>
    </w:p>
    <w:p w:rsidR="00516674" w:rsidRDefault="00516674" w:rsidP="00516674">
      <w:pPr>
        <w:spacing w:line="360" w:lineRule="auto"/>
        <w:jc w:val="both"/>
        <w:rPr>
          <w:rFonts w:ascii="Arial" w:hAnsi="Arial"/>
          <w:noProof w:val="0"/>
          <w:rtl/>
        </w:rPr>
      </w:pPr>
    </w:p>
    <w:p w:rsidR="00516674" w:rsidRDefault="00516674" w:rsidP="00516674">
      <w:pPr>
        <w:spacing w:line="360" w:lineRule="auto"/>
        <w:jc w:val="center"/>
      </w:pPr>
      <w:r>
        <w:rPr>
          <w:rtl/>
        </w:rPr>
        <w:tab/>
      </w:r>
      <w:r>
        <w:rPr>
          <w:rtl/>
        </w:rPr>
        <w:tab/>
      </w:r>
      <w:r>
        <w:rPr>
          <w:rtl/>
        </w:rPr>
        <w:tab/>
      </w:r>
      <w:sdt>
        <w:sdtPr>
          <w:rPr>
            <w:rtl/>
          </w:rPr>
          <w:alias w:val="MergeField"/>
          <w:tag w:val="1237"/>
          <w:id w:val="2026435607"/>
        </w:sdtPr>
        <w:sdtEndPr/>
        <w:sdtContent>
          <w:r>
            <w:drawing>
              <wp:inline distT="0" distB="0" distL="0" distR="0" wp14:anchorId="689DF285" wp14:editId="0E6DB7A1">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828800" cy="733425"/>
                        </a:xfrm>
                        <a:prstGeom prst="rect">
                          <a:avLst/>
                        </a:prstGeom>
                      </pic:spPr>
                    </pic:pic>
                  </a:graphicData>
                </a:graphic>
              </wp:inline>
            </w:drawing>
          </w:r>
        </w:sdtContent>
      </w:sdt>
    </w:p>
    <w:p w:rsidR="00516674" w:rsidRDefault="00516674" w:rsidP="00516674">
      <w:pPr>
        <w:spacing w:line="360" w:lineRule="auto"/>
        <w:jc w:val="center"/>
        <w:rPr>
          <w:rFonts w:ascii="Arial" w:hAnsi="Arial"/>
          <w:noProof w:val="0"/>
          <w:rtl/>
        </w:rPr>
      </w:pPr>
    </w:p>
    <w:p w:rsidR="00516674" w:rsidRDefault="00516674" w:rsidP="00516674">
      <w:pPr>
        <w:spacing w:line="360" w:lineRule="auto"/>
        <w:jc w:val="both"/>
        <w:rPr>
          <w:rFonts w:ascii="Arial" w:hAnsi="Arial"/>
          <w:noProof w:val="0"/>
          <w:rtl/>
        </w:rPr>
      </w:pPr>
    </w:p>
    <w:p w:rsidR="00270D1E" w:rsidRDefault="00270D1E"/>
    <w:sectPr w:rsidR="00270D1E" w:rsidSect="00A978EA">
      <w:headerReference w:type="default" r:id="rId8"/>
      <w:footerReference w:type="default" r:id="rId9"/>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3B8" w:rsidRDefault="008D43B8" w:rsidP="00516674">
      <w:r>
        <w:separator/>
      </w:r>
    </w:p>
  </w:endnote>
  <w:endnote w:type="continuationSeparator" w:id="0">
    <w:p w:rsidR="008D43B8" w:rsidRDefault="008D43B8" w:rsidP="0051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16674">
    <w:pPr>
      <w:pStyle w:val="a5"/>
      <w:jc w:val="center"/>
      <w:rPr>
        <w:rStyle w:val="a8"/>
      </w:rPr>
    </w:pPr>
    <w:r>
      <w:rPr>
        <w:rStyle w:val="a8"/>
      </w:rPr>
      <w:fldChar w:fldCharType="begin"/>
    </w:r>
    <w:r>
      <w:rPr>
        <w:rStyle w:val="a8"/>
      </w:rPr>
      <w:instrText xml:space="preserve"> PAGE </w:instrText>
    </w:r>
    <w:r>
      <w:rPr>
        <w:rStyle w:val="a8"/>
      </w:rPr>
      <w:fldChar w:fldCharType="separate"/>
    </w:r>
    <w:r w:rsidR="007B142B">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7B142B">
      <w:rPr>
        <w:rStyle w:val="a8"/>
        <w:rtl/>
      </w:rPr>
      <w:t>9</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3B8" w:rsidRDefault="008D43B8" w:rsidP="00516674">
      <w:r>
        <w:separator/>
      </w:r>
    </w:p>
  </w:footnote>
  <w:footnote w:type="continuationSeparator" w:id="0">
    <w:p w:rsidR="008D43B8" w:rsidRDefault="008D43B8" w:rsidP="0051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516674">
    <w:pPr>
      <w:pStyle w:val="a3"/>
      <w:jc w:val="center"/>
      <w:rPr>
        <w:rFonts w:cs="FrankRuehl"/>
        <w:noProof w:val="0"/>
        <w:sz w:val="28"/>
        <w:szCs w:val="28"/>
        <w:rtl/>
      </w:rPr>
    </w:pPr>
    <w:r>
      <w:rPr>
        <w:rFonts w:cs="FrankRuehl"/>
        <w:sz w:val="28"/>
        <w:szCs w:val="28"/>
      </w:rPr>
      <w:drawing>
        <wp:inline distT="0" distB="0" distL="0" distR="0" wp14:anchorId="35D1DF0D" wp14:editId="4F66D6F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516674">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8D43B8">
          <w:pPr>
            <w:rPr>
              <w:b/>
              <w:bCs/>
              <w:noProof w:val="0"/>
              <w:sz w:val="26"/>
              <w:szCs w:val="26"/>
              <w:rtl/>
            </w:rPr>
          </w:pPr>
        </w:p>
      </w:tc>
      <w:sdt>
        <w:sdtPr>
          <w:rPr>
            <w:rtl/>
          </w:rPr>
          <w:alias w:val="1456"/>
          <w:tag w:val="1456"/>
          <w:id w:val="952063389"/>
          <w:text/>
        </w:sdtPr>
        <w:sdtEndPr/>
        <w:sdtContent>
          <w:tc>
            <w:tcPr>
              <w:tcW w:w="3674" w:type="dxa"/>
            </w:tcPr>
            <w:p w:rsidR="002914D6" w:rsidRDefault="00516674">
              <w:pPr>
                <w:pStyle w:val="a3"/>
                <w:jc w:val="right"/>
                <w:rPr>
                  <w:b/>
                  <w:bCs/>
                  <w:noProof w:val="0"/>
                  <w:sz w:val="26"/>
                  <w:szCs w:val="26"/>
                  <w:rtl/>
                </w:rPr>
              </w:pPr>
              <w:r>
                <w:rPr>
                  <w:b/>
                  <w:bCs/>
                  <w:noProof w:val="0"/>
                  <w:sz w:val="26"/>
                  <w:szCs w:val="26"/>
                  <w:rtl/>
                </w:rPr>
                <w:t>19 דצמבר 2023</w:t>
              </w:r>
            </w:p>
          </w:tc>
        </w:sdtContent>
      </w:sdt>
    </w:tr>
    <w:tr w:rsidR="002914D6">
      <w:trPr>
        <w:trHeight w:val="337"/>
        <w:jc w:val="center"/>
      </w:trPr>
      <w:tc>
        <w:tcPr>
          <w:tcW w:w="8721" w:type="dxa"/>
          <w:gridSpan w:val="2"/>
        </w:tcPr>
        <w:p w:rsidR="002914D6" w:rsidRDefault="008D43B8" w:rsidP="005771F4">
          <w:pPr>
            <w:rPr>
              <w:b/>
              <w:bCs/>
              <w:noProof w:val="0"/>
              <w:sz w:val="26"/>
              <w:szCs w:val="26"/>
              <w:rtl/>
            </w:rPr>
          </w:pPr>
          <w:sdt>
            <w:sdtPr>
              <w:rPr>
                <w:rtl/>
              </w:rPr>
              <w:alias w:val="1170"/>
              <w:tag w:val="1170"/>
              <w:id w:val="-1240940633"/>
              <w:text w:multiLine="1"/>
            </w:sdtPr>
            <w:sdtEndPr/>
            <w:sdtContent>
              <w:r w:rsidR="00516674">
                <w:rPr>
                  <w:b/>
                  <w:bCs/>
                  <w:noProof w:val="0"/>
                  <w:sz w:val="26"/>
                  <w:szCs w:val="26"/>
                  <w:rtl/>
                </w:rPr>
                <w:t>תמ"ש</w:t>
              </w:r>
            </w:sdtContent>
          </w:sdt>
          <w:r w:rsidR="00516674">
            <w:rPr>
              <w:b/>
              <w:bCs/>
              <w:noProof w:val="0"/>
              <w:sz w:val="26"/>
              <w:szCs w:val="26"/>
              <w:rtl/>
            </w:rPr>
            <w:t xml:space="preserve"> </w:t>
          </w:r>
          <w:sdt>
            <w:sdtPr>
              <w:rPr>
                <w:rtl/>
              </w:rPr>
              <w:alias w:val="1171"/>
              <w:tag w:val="1171"/>
              <w:id w:val="-1122917173"/>
              <w:text w:multiLine="1"/>
            </w:sdtPr>
            <w:sdtEndPr/>
            <w:sdtContent>
              <w:r w:rsidR="00516674">
                <w:rPr>
                  <w:b/>
                  <w:bCs/>
                  <w:noProof w:val="0"/>
                  <w:sz w:val="26"/>
                  <w:szCs w:val="26"/>
                  <w:rtl/>
                </w:rPr>
                <w:t>21299-03-23</w:t>
              </w:r>
            </w:sdtContent>
          </w:sdt>
          <w:r w:rsidR="00516674">
            <w:rPr>
              <w:b/>
              <w:bCs/>
              <w:noProof w:val="0"/>
              <w:sz w:val="26"/>
              <w:szCs w:val="26"/>
              <w:rtl/>
            </w:rPr>
            <w:t xml:space="preserve"> </w:t>
          </w:r>
          <w:sdt>
            <w:sdtPr>
              <w:rPr>
                <w:rtl/>
              </w:rPr>
              <w:alias w:val="1172"/>
              <w:tag w:val="1172"/>
              <w:id w:val="1658414112"/>
              <w:text w:multiLine="1"/>
            </w:sdtPr>
            <w:sdtEndPr/>
            <w:sdtContent>
              <w:r w:rsidR="005771F4">
                <w:rPr>
                  <w:rFonts w:hint="cs"/>
                  <w:b/>
                  <w:bCs/>
                  <w:noProof w:val="0"/>
                  <w:sz w:val="26"/>
                  <w:szCs w:val="26"/>
                  <w:rtl/>
                </w:rPr>
                <w:t>פלונית</w:t>
              </w:r>
              <w:r w:rsidR="00516674">
                <w:rPr>
                  <w:b/>
                  <w:bCs/>
                  <w:noProof w:val="0"/>
                  <w:sz w:val="26"/>
                  <w:szCs w:val="26"/>
                  <w:rtl/>
                </w:rPr>
                <w:t xml:space="preserve"> נ' </w:t>
              </w:r>
              <w:r w:rsidR="005771F4">
                <w:rPr>
                  <w:rFonts w:hint="cs"/>
                  <w:b/>
                  <w:bCs/>
                  <w:noProof w:val="0"/>
                  <w:sz w:val="26"/>
                  <w:szCs w:val="26"/>
                  <w:rtl/>
                </w:rPr>
                <w:t>אלמונית</w:t>
              </w:r>
            </w:sdtContent>
          </w:sdt>
        </w:p>
        <w:p w:rsidR="002914D6" w:rsidRDefault="008D43B8">
          <w:pPr>
            <w:rPr>
              <w:rtl/>
            </w:rPr>
          </w:pPr>
        </w:p>
        <w:p w:rsidR="00F7431B" w:rsidRDefault="008D43B8">
          <w:pPr>
            <w:rPr>
              <w:rtl/>
            </w:rPr>
          </w:pPr>
        </w:p>
      </w:tc>
    </w:tr>
  </w:tbl>
  <w:p w:rsidR="002914D6" w:rsidRDefault="00516674">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5D5086"/>
    <w:multiLevelType w:val="hybridMultilevel"/>
    <w:tmpl w:val="34643FE2"/>
    <w:lvl w:ilvl="0" w:tplc="174C08A2">
      <w:start w:val="1"/>
      <w:numFmt w:val="decimal"/>
      <w:lvlText w:val="%1."/>
      <w:lvlJc w:val="left"/>
      <w:pPr>
        <w:ind w:left="360" w:hanging="360"/>
      </w:pPr>
      <w:rPr>
        <w:rFonts w:ascii="David" w:hAnsi="David" w:cs="David" w:hint="default"/>
        <w:b w:val="0"/>
        <w:bCs w:val="0"/>
        <w:i w:val="0"/>
        <w:iCs w:val="0"/>
        <w:sz w:val="24"/>
        <w:szCs w:val="24"/>
      </w:rPr>
    </w:lvl>
    <w:lvl w:ilvl="1" w:tplc="43A2EE7E">
      <w:start w:val="1"/>
      <w:numFmt w:val="lowerLetter"/>
      <w:lvlText w:val="%2."/>
      <w:lvlJc w:val="left"/>
      <w:pPr>
        <w:ind w:left="1080" w:hanging="360"/>
      </w:pPr>
    </w:lvl>
    <w:lvl w:ilvl="2" w:tplc="16B0AA96">
      <w:start w:val="1"/>
      <w:numFmt w:val="lowerRoman"/>
      <w:lvlText w:val="%3."/>
      <w:lvlJc w:val="right"/>
      <w:pPr>
        <w:ind w:left="1800" w:hanging="180"/>
      </w:pPr>
    </w:lvl>
    <w:lvl w:ilvl="3" w:tplc="C7127F96">
      <w:start w:val="1"/>
      <w:numFmt w:val="decimal"/>
      <w:lvlText w:val="%4."/>
      <w:lvlJc w:val="left"/>
      <w:pPr>
        <w:ind w:left="2520" w:hanging="360"/>
      </w:pPr>
    </w:lvl>
    <w:lvl w:ilvl="4" w:tplc="1430F8F6">
      <w:start w:val="1"/>
      <w:numFmt w:val="lowerLetter"/>
      <w:lvlText w:val="%5."/>
      <w:lvlJc w:val="left"/>
      <w:pPr>
        <w:ind w:left="3240" w:hanging="360"/>
      </w:pPr>
    </w:lvl>
    <w:lvl w:ilvl="5" w:tplc="88D25B60">
      <w:start w:val="1"/>
      <w:numFmt w:val="lowerRoman"/>
      <w:lvlText w:val="%6."/>
      <w:lvlJc w:val="right"/>
      <w:pPr>
        <w:ind w:left="3960" w:hanging="180"/>
      </w:pPr>
    </w:lvl>
    <w:lvl w:ilvl="6" w:tplc="E2EE5A4C">
      <w:start w:val="1"/>
      <w:numFmt w:val="decimal"/>
      <w:lvlText w:val="%7."/>
      <w:lvlJc w:val="left"/>
      <w:pPr>
        <w:ind w:left="4680" w:hanging="360"/>
      </w:pPr>
    </w:lvl>
    <w:lvl w:ilvl="7" w:tplc="A992E7EC">
      <w:start w:val="1"/>
      <w:numFmt w:val="lowerLetter"/>
      <w:lvlText w:val="%8."/>
      <w:lvlJc w:val="left"/>
      <w:pPr>
        <w:ind w:left="5400" w:hanging="360"/>
      </w:pPr>
    </w:lvl>
    <w:lvl w:ilvl="8" w:tplc="0B42659A">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674"/>
    <w:rsid w:val="00100DE1"/>
    <w:rsid w:val="0022614B"/>
    <w:rsid w:val="00270D1E"/>
    <w:rsid w:val="003254EE"/>
    <w:rsid w:val="00516674"/>
    <w:rsid w:val="005771F4"/>
    <w:rsid w:val="006F0F7D"/>
    <w:rsid w:val="00732377"/>
    <w:rsid w:val="0073672E"/>
    <w:rsid w:val="007B142B"/>
    <w:rsid w:val="007C1F8A"/>
    <w:rsid w:val="008D43B8"/>
    <w:rsid w:val="009F244E"/>
    <w:rsid w:val="00DC0207"/>
    <w:rsid w:val="00E67B6C"/>
    <w:rsid w:val="00E7423A"/>
    <w:rsid w:val="00EB1B34"/>
    <w:rsid w:val="00F95EEC"/>
    <w:rsid w:val="00F96F04"/>
    <w:rsid w:val="00FB33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081098-12A7-45F5-A8F6-81BE142B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67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16674"/>
    <w:pPr>
      <w:tabs>
        <w:tab w:val="center" w:pos="4153"/>
        <w:tab w:val="right" w:pos="8306"/>
      </w:tabs>
    </w:pPr>
  </w:style>
  <w:style w:type="character" w:customStyle="1" w:styleId="a4">
    <w:name w:val="כותרת עליונה תו"/>
    <w:basedOn w:val="a0"/>
    <w:link w:val="a3"/>
    <w:rsid w:val="00516674"/>
    <w:rPr>
      <w:rFonts w:ascii="Times New Roman" w:eastAsia="Times New Roman" w:hAnsi="Times New Roman" w:cs="David"/>
      <w:noProof/>
      <w:sz w:val="24"/>
      <w:szCs w:val="24"/>
    </w:rPr>
  </w:style>
  <w:style w:type="paragraph" w:styleId="a5">
    <w:name w:val="footer"/>
    <w:basedOn w:val="a"/>
    <w:link w:val="a6"/>
    <w:rsid w:val="00516674"/>
    <w:pPr>
      <w:tabs>
        <w:tab w:val="center" w:pos="4153"/>
        <w:tab w:val="right" w:pos="8306"/>
      </w:tabs>
    </w:pPr>
  </w:style>
  <w:style w:type="character" w:customStyle="1" w:styleId="a6">
    <w:name w:val="כותרת תחתונה תו"/>
    <w:basedOn w:val="a0"/>
    <w:link w:val="a5"/>
    <w:rsid w:val="00516674"/>
    <w:rPr>
      <w:rFonts w:ascii="Times New Roman" w:eastAsia="Times New Roman" w:hAnsi="Times New Roman" w:cs="David"/>
      <w:noProof/>
      <w:sz w:val="24"/>
      <w:szCs w:val="24"/>
    </w:rPr>
  </w:style>
  <w:style w:type="table" w:styleId="a7">
    <w:name w:val="Table Grid"/>
    <w:basedOn w:val="a1"/>
    <w:rsid w:val="0051667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16674"/>
  </w:style>
  <w:style w:type="character" w:styleId="Hyperlink">
    <w:name w:val="Hyperlink"/>
    <w:semiHidden/>
    <w:unhideWhenUsed/>
    <w:rsid w:val="00516674"/>
    <w:rPr>
      <w:color w:val="0000FF"/>
      <w:u w:val="single"/>
    </w:rPr>
  </w:style>
  <w:style w:type="paragraph" w:styleId="a9">
    <w:name w:val="List Paragraph"/>
    <w:basedOn w:val="a"/>
    <w:uiPriority w:val="34"/>
    <w:qFormat/>
    <w:rsid w:val="00516674"/>
    <w:pPr>
      <w:spacing w:after="160" w:line="256" w:lineRule="auto"/>
      <w:ind w:left="720"/>
      <w:contextualSpacing/>
    </w:pPr>
    <w:rPr>
      <w:rFonts w:asciiTheme="minorHAnsi" w:eastAsiaTheme="minorHAnsi" w:hAnsiTheme="minorHAnsi" w:cstheme="minorBidi"/>
      <w:noProof w:val="0"/>
      <w:kern w:val="2"/>
      <w:sz w:val="22"/>
      <w:szCs w:val="22"/>
      <w14:ligatures w14:val="standardContextual"/>
    </w:rPr>
  </w:style>
  <w:style w:type="character" w:styleId="aa">
    <w:name w:val="line number"/>
    <w:basedOn w:val="a0"/>
    <w:uiPriority w:val="99"/>
    <w:semiHidden/>
    <w:unhideWhenUsed/>
    <w:rsid w:val="00516674"/>
  </w:style>
  <w:style w:type="paragraph" w:styleId="ab">
    <w:name w:val="Balloon Text"/>
    <w:basedOn w:val="a"/>
    <w:link w:val="ac"/>
    <w:uiPriority w:val="99"/>
    <w:semiHidden/>
    <w:unhideWhenUsed/>
    <w:rsid w:val="00F95EEC"/>
    <w:rPr>
      <w:rFonts w:ascii="Tahoma" w:hAnsi="Tahoma" w:cs="Tahoma"/>
      <w:sz w:val="18"/>
      <w:szCs w:val="18"/>
    </w:rPr>
  </w:style>
  <w:style w:type="character" w:customStyle="1" w:styleId="ac">
    <w:name w:val="טקסט בלונים תו"/>
    <w:basedOn w:val="a0"/>
    <w:link w:val="ab"/>
    <w:uiPriority w:val="99"/>
    <w:semiHidden/>
    <w:rsid w:val="00F95EEC"/>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2342</Words>
  <Characters>11711</Characters>
  <Application>Microsoft Office Word</Application>
  <DocSecurity>0</DocSecurity>
  <Lines>97</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אסתר טטרואשילי</cp:lastModifiedBy>
  <cp:revision>2</cp:revision>
  <cp:lastPrinted>2023-12-26T13:03:00Z</cp:lastPrinted>
  <dcterms:created xsi:type="dcterms:W3CDTF">2023-12-27T10:19:00Z</dcterms:created>
  <dcterms:modified xsi:type="dcterms:W3CDTF">2023-12-27T10:19:00Z</dcterms:modified>
</cp:coreProperties>
</file>